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991" w:rsidRPr="002B6850" w:rsidRDefault="00304991" w:rsidP="00FE00CE">
      <w:pPr>
        <w:jc w:val="both"/>
        <w:rPr>
          <w:rFonts w:eastAsia="Arial Unicode MS"/>
          <w:lang w:val="cs-CZ"/>
        </w:rPr>
      </w:pPr>
    </w:p>
    <w:p w:rsidR="00304991" w:rsidRPr="002B6850" w:rsidRDefault="00304991" w:rsidP="00304991">
      <w:pPr>
        <w:pStyle w:val="Nadpis1"/>
        <w:numPr>
          <w:ilvl w:val="0"/>
          <w:numId w:val="0"/>
        </w:numPr>
        <w:ind w:left="432" w:hanging="432"/>
        <w:jc w:val="both"/>
        <w:rPr>
          <w:rFonts w:eastAsia="Arial Unicode MS"/>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E02A81" w:rsidP="00304991">
      <w:pPr>
        <w:rPr>
          <w:lang w:val="cs-CZ"/>
        </w:rPr>
      </w:pPr>
      <w:r w:rsidRPr="00E02A81">
        <w:rPr>
          <w:noProof/>
        </w:rPr>
        <w:pict>
          <v:shapetype id="_x0000_t202" coordsize="21600,21600" o:spt="202" path="m,l,21600r21600,l21600,xe">
            <v:stroke joinstyle="miter"/>
            <v:path gradientshapeok="t" o:connecttype="rect"/>
          </v:shapetype>
          <v:shape id="Text Box 2" o:spid="_x0000_s1026" type="#_x0000_t202" style="position:absolute;margin-left:122.25pt;margin-top:141.25pt;width:223.05pt;height:.05pt;z-index:251660288;visibility:visible" wrapcoords="-73 0 -73 21098 21600 21098 21600 0 -7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" stroked="f">
            <v:textbox style="mso-fit-shape-to-text:t" inset="0,0,0,0">
              <w:txbxContent>
                <w:p w:rsidR="00810DF7" w:rsidRPr="00FD6870" w:rsidRDefault="00810DF7" w:rsidP="00304991">
                  <w:pPr>
                    <w:pStyle w:val="Titulek"/>
                    <w:jc w:val="center"/>
                    <w:rPr>
                      <w:noProof/>
                    </w:rPr>
                  </w:pPr>
                  <w:proofErr w:type="spellStart"/>
                  <w:r>
                    <w:t>Obrázek</w:t>
                  </w:r>
                  <w:proofErr w:type="spellEnd"/>
                  <w:r>
                    <w:t xml:space="preserve"> </w:t>
                  </w:r>
                  <w:fldSimple w:instr=" SEQ Obrázek \* ARABIC ">
                    <w:r w:rsidR="003A083A">
                      <w:rPr>
                        <w:noProof/>
                      </w:rPr>
                      <w:t>1</w:t>
                    </w:r>
                  </w:fldSimple>
                  <w:proofErr w:type="gramStart"/>
                  <w:r>
                    <w:t xml:space="preserve"> </w:t>
                  </w:r>
                  <w:proofErr w:type="spellStart"/>
                  <w:r>
                    <w:t>Hlavní</w:t>
                  </w:r>
                  <w:proofErr w:type="spellEnd"/>
                  <w:r>
                    <w:t xml:space="preserve"> </w:t>
                  </w:r>
                  <w:proofErr w:type="spellStart"/>
                  <w:r>
                    <w:t>budova</w:t>
                  </w:r>
                  <w:proofErr w:type="spellEnd"/>
                  <w:r>
                    <w:t xml:space="preserve"> ČNB, copyright</w:t>
                  </w:r>
                  <w:r>
                    <w:rPr>
                      <w:rFonts w:cstheme="minorHAnsi"/>
                    </w:rPr>
                    <w:t>©</w:t>
                  </w:r>
                  <w:r>
                    <w:t xml:space="preserve"> </w:t>
                  </w:r>
                  <w:proofErr w:type="spellStart"/>
                  <w:r>
                    <w:t>Česká</w:t>
                  </w:r>
                  <w:proofErr w:type="spellEnd"/>
                  <w:r>
                    <w:t xml:space="preserve"> </w:t>
                  </w:r>
                  <w:proofErr w:type="spellStart"/>
                  <w:r>
                    <w:t>národní</w:t>
                  </w:r>
                  <w:proofErr w:type="spellEnd"/>
                  <w:r>
                    <w:t xml:space="preserve"> </w:t>
                  </w:r>
                  <w:proofErr w:type="spellStart"/>
                  <w:r>
                    <w:t>banka</w:t>
                  </w:r>
                  <w:proofErr w:type="spellEnd"/>
                  <w:proofErr w:type="gramEnd"/>
                  <w:r>
                    <w:t xml:space="preserve">, </w:t>
                  </w:r>
                  <w:proofErr w:type="spellStart"/>
                  <w:r>
                    <w:t>foto</w:t>
                  </w:r>
                  <w:proofErr w:type="spellEnd"/>
                  <w:r>
                    <w:t xml:space="preserve"> </w:t>
                  </w:r>
                  <w:proofErr w:type="spellStart"/>
                  <w:r>
                    <w:t>Václav</w:t>
                  </w:r>
                  <w:proofErr w:type="spellEnd"/>
                  <w:r>
                    <w:t xml:space="preserve"> </w:t>
                  </w:r>
                  <w:proofErr w:type="spellStart"/>
                  <w:r>
                    <w:t>Šedý</w:t>
                  </w:r>
                  <w:proofErr w:type="spellEnd"/>
                </w:p>
              </w:txbxContent>
            </v:textbox>
            <w10:wrap type="through"/>
          </v:shape>
        </w:pict>
      </w:r>
      <w:r w:rsidR="00304991" w:rsidRPr="002B6850">
        <w:rPr>
          <w:noProof/>
          <w:lang w:val="cs-CZ" w:eastAsia="cs-CZ"/>
        </w:rPr>
        <w:drawing>
          <wp:anchor distT="0" distB="0" distL="114300" distR="114300" simplePos="0" relativeHeight="251658240" behindDoc="1" locked="0" layoutInCell="1" allowOverlap="1">
            <wp:simplePos x="914400" y="4238625"/>
            <wp:positionH relativeFrom="margin">
              <wp:align>center</wp:align>
            </wp:positionH>
            <wp:positionV relativeFrom="margin">
              <wp:align>center</wp:align>
            </wp:positionV>
            <wp:extent cx="2832735" cy="1899920"/>
            <wp:effectExtent l="0" t="0" r="5715" b="5080"/>
            <wp:wrapThrough wrapText="bothSides">
              <wp:wrapPolygon edited="0">
                <wp:start x="0" y="0"/>
                <wp:lineTo x="0" y="21441"/>
                <wp:lineTo x="21498" y="21441"/>
                <wp:lineTo x="2149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dova_01_600.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832735" cy="1899920"/>
                    </a:xfrm>
                    <a:prstGeom prst="rect">
                      <a:avLst/>
                    </a:prstGeom>
                  </pic:spPr>
                </pic:pic>
              </a:graphicData>
            </a:graphic>
          </wp:anchor>
        </w:drawing>
      </w: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A686B" w:rsidRPr="003A686B" w:rsidRDefault="00440DF6" w:rsidP="003A686B">
      <w:pPr>
        <w:pStyle w:val="Nadpis1"/>
        <w:jc w:val="both"/>
        <w:rPr>
          <w:rFonts w:eastAsia="Arial Unicode MS"/>
          <w:lang w:val="cs-CZ"/>
        </w:rPr>
      </w:pPr>
      <w:bookmarkStart w:id="0" w:name="_Toc296788016"/>
      <w:r w:rsidRPr="002B6850">
        <w:rPr>
          <w:rFonts w:eastAsia="Arial Unicode MS"/>
          <w:lang w:val="cs-CZ"/>
        </w:rPr>
        <w:lastRenderedPageBreak/>
        <w:t>Měnový kurz</w:t>
      </w:r>
      <w:bookmarkEnd w:id="0"/>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 xml:space="preserve">Měnový kurz je cena jedné měny vyjádřená v jednotkách měny jiné. Obvykle se udává jako podíl domácí měny </w:t>
      </w:r>
      <w:proofErr w:type="gramStart"/>
      <w:r w:rsidRPr="002B6850">
        <w:rPr>
          <w:rFonts w:ascii="Arial" w:eastAsia="Arial Unicode MS" w:hAnsi="Arial" w:cs="Arial"/>
          <w:lang w:val="cs-CZ"/>
        </w:rPr>
        <w:t>ku</w:t>
      </w:r>
      <w:proofErr w:type="gramEnd"/>
      <w:r w:rsidRPr="002B6850">
        <w:rPr>
          <w:rFonts w:ascii="Arial" w:eastAsia="Arial Unicode MS" w:hAnsi="Arial" w:cs="Arial"/>
          <w:lang w:val="cs-CZ"/>
        </w:rPr>
        <w:t xml:space="preserve"> měně zahraniční. Zkráceně se někdy používá např. kurz dolaru je 19,50 – to znamená, že měnový kurz české koruny k americkému dolaru je </w:t>
      </w:r>
      <w:proofErr w:type="gramStart"/>
      <w:r w:rsidRPr="002B6850">
        <w:rPr>
          <w:rFonts w:ascii="Arial" w:eastAsia="Arial Unicode MS" w:hAnsi="Arial" w:cs="Arial"/>
          <w:lang w:val="cs-CZ"/>
        </w:rPr>
        <w:t>19,50  Kč</w:t>
      </w:r>
      <w:proofErr w:type="gramEnd"/>
      <w:r w:rsidRPr="002B6850">
        <w:rPr>
          <w:rFonts w:ascii="Arial" w:eastAsia="Arial Unicode MS" w:hAnsi="Arial" w:cs="Arial"/>
          <w:lang w:val="cs-CZ"/>
        </w:rPr>
        <w:t xml:space="preserve"> za 1  USD.</w:t>
      </w:r>
    </w:p>
    <w:p w:rsidR="00440DF6" w:rsidRPr="002B6850" w:rsidRDefault="00440DF6" w:rsidP="00FE00CE">
      <w:pPr>
        <w:pStyle w:val="Nadpis2"/>
        <w:jc w:val="both"/>
        <w:rPr>
          <w:rFonts w:eastAsia="Arial Unicode MS"/>
          <w:lang w:val="cs-CZ"/>
        </w:rPr>
      </w:pPr>
      <w:bookmarkStart w:id="1" w:name="_Toc296788017"/>
      <w:r w:rsidRPr="002B6850">
        <w:rPr>
          <w:rFonts w:eastAsia="Arial Unicode MS"/>
          <w:lang w:val="cs-CZ"/>
        </w:rPr>
        <w:t>Kurzová notace</w:t>
      </w:r>
      <w:bookmarkEnd w:id="1"/>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 xml:space="preserve">Kurz z příkladu se běžně zaznamenává ve formě 19,50 USD/CZK. Zde zápis "USD/CZK" není zlomek, ale historicky používaná notace s významem kurz pro měnu USD je 19,50 CZK: Ačkoli by se výpočet kurzu provedl podílem Kč/$, tedy obráceně, předvedená notace se běžně používá ve směnárnách, v bankách [1] i na </w:t>
      </w:r>
      <w:proofErr w:type="spellStart"/>
      <w:r w:rsidRPr="002B6850">
        <w:rPr>
          <w:rFonts w:ascii="Arial" w:eastAsia="Arial Unicode MS" w:hAnsi="Arial" w:cs="Arial"/>
          <w:lang w:val="cs-CZ"/>
        </w:rPr>
        <w:t>Forexu</w:t>
      </w:r>
      <w:proofErr w:type="spellEnd"/>
      <w:r w:rsidRPr="002B6850">
        <w:rPr>
          <w:rFonts w:ascii="Arial" w:eastAsia="Arial Unicode MS" w:hAnsi="Arial" w:cs="Arial"/>
          <w:lang w:val="cs-CZ"/>
        </w:rPr>
        <w:t>.</w:t>
      </w:r>
    </w:p>
    <w:p w:rsidR="00440DF6" w:rsidRPr="002B6850" w:rsidRDefault="00440DF6" w:rsidP="00FE00CE">
      <w:pPr>
        <w:pStyle w:val="Nadpis2"/>
        <w:jc w:val="both"/>
        <w:rPr>
          <w:rFonts w:eastAsia="Arial Unicode MS"/>
          <w:lang w:val="cs-CZ"/>
        </w:rPr>
      </w:pPr>
      <w:bookmarkStart w:id="2" w:name="_Toc296788018"/>
      <w:r w:rsidRPr="002B6850">
        <w:rPr>
          <w:rFonts w:eastAsia="Arial Unicode MS"/>
          <w:lang w:val="cs-CZ"/>
        </w:rPr>
        <w:t>Režimy měnových kurzů</w:t>
      </w:r>
      <w:bookmarkEnd w:id="2"/>
    </w:p>
    <w:p w:rsidR="00B44D95" w:rsidRDefault="00B44D95" w:rsidP="00FE00CE">
      <w:pPr>
        <w:jc w:val="both"/>
        <w:rPr>
          <w:rFonts w:ascii="Arial" w:eastAsia="Arial Unicode MS" w:hAnsi="Arial" w:cs="Arial"/>
          <w:lang w:val="cs-CZ"/>
        </w:rPr>
        <w:sectPr w:rsidR="00B44D95">
          <w:headerReference w:type="even" r:id="rId9"/>
          <w:headerReference w:type="default" r:id="rId10"/>
          <w:footerReference w:type="even" r:id="rId11"/>
          <w:footerReference w:type="default" r:id="rId12"/>
          <w:pgSz w:w="12240" w:h="15840"/>
          <w:pgMar w:top="1440" w:right="1440" w:bottom="1440" w:left="1440" w:header="720" w:footer="720" w:gutter="0"/>
          <w:cols w:space="720"/>
          <w:docGrid w:linePitch="360"/>
        </w:sectPr>
      </w:pP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lastRenderedPageBreak/>
        <w:t xml:space="preserve">V minulosti byly penězi drahé kovy, například zlato, viz zlatý standard. Jednotka každé měny byla jen jiným názvem pro určité množství tohoto kovu. Směnné kurzy proto byly dány, šlo o pouhé poměry hmotností měnových jednotek. K jejich změně došlo jen tehdy, stalo-li se, že panovník prováděl znehodnocování mincí, viz </w:t>
      </w:r>
      <w:proofErr w:type="spellStart"/>
      <w:r w:rsidRPr="002B6850">
        <w:rPr>
          <w:rFonts w:ascii="Arial" w:eastAsia="Arial Unicode MS" w:hAnsi="Arial" w:cs="Arial"/>
          <w:lang w:val="cs-CZ"/>
        </w:rPr>
        <w:t>seignorage</w:t>
      </w:r>
      <w:proofErr w:type="spellEnd"/>
      <w:r w:rsidRPr="002B6850">
        <w:rPr>
          <w:rFonts w:ascii="Arial" w:eastAsia="Arial Unicode MS" w:hAnsi="Arial" w:cs="Arial"/>
          <w:lang w:val="cs-CZ"/>
        </w:rPr>
        <w:t>. Tyto praktiky byly rozšířenější ve středověku. Později se staly velice vzácné, a sice v průběhu devatenáctého století v době tzv. zlatého standardu. Naopak dnes, kdy nejsou peníze kryty komoditou a tedy jejich hodnota není nijak ukotvena hmotností kovu, jsou změny kurzu prakticky neustálé.</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 xml:space="preserve">Fixní kurzy komoditních měn nebylo obvykle třeba sledovat, namísto toho byly předmětem zájmu vývozy a dovozy kovu (zlata) z a do jednotlivých zemí. Vývoz zlata znamenal, že občané dané země si kupují vyšší množství statků a služeb v zahraničí, anebo masivně investují. V dnešním režimu nekrytých peněz a volně plovoucích kurzů by se taková situace projevila poklesem dané měny. Dovoz zlata byl pravým opakem, dnes by šlo o posílení kurzu. Ačkoliv komoditní peníze v současnosti používány nejsou, tento mechanismus má stále svou </w:t>
      </w:r>
      <w:proofErr w:type="spellStart"/>
      <w:r w:rsidRPr="002B6850">
        <w:rPr>
          <w:rFonts w:ascii="Arial" w:eastAsia="Arial Unicode MS" w:hAnsi="Arial" w:cs="Arial"/>
          <w:lang w:val="cs-CZ"/>
        </w:rPr>
        <w:t>důlěžitost</w:t>
      </w:r>
      <w:proofErr w:type="spellEnd"/>
      <w:r w:rsidRPr="002B6850">
        <w:rPr>
          <w:rFonts w:ascii="Arial" w:eastAsia="Arial Unicode MS" w:hAnsi="Arial" w:cs="Arial"/>
          <w:lang w:val="cs-CZ"/>
        </w:rPr>
        <w:t xml:space="preserve">, protože fakticky fixní kurzy nadále existují mezi zeměmi, které </w:t>
      </w:r>
      <w:r w:rsidRPr="002B6850">
        <w:rPr>
          <w:rFonts w:ascii="Arial" w:eastAsia="Arial Unicode MS" w:hAnsi="Arial" w:cs="Arial"/>
          <w:lang w:val="cs-CZ"/>
        </w:rPr>
        <w:lastRenderedPageBreak/>
        <w:t xml:space="preserve">používají stejnou měnu, tedy například v </w:t>
      </w:r>
      <w:proofErr w:type="spellStart"/>
      <w:r w:rsidRPr="002B6850">
        <w:rPr>
          <w:rFonts w:ascii="Arial" w:eastAsia="Arial Unicode MS" w:hAnsi="Arial" w:cs="Arial"/>
          <w:lang w:val="cs-CZ"/>
        </w:rPr>
        <w:t>eurozóně</w:t>
      </w:r>
      <w:proofErr w:type="spellEnd"/>
      <w:r w:rsidRPr="002B6850">
        <w:rPr>
          <w:rFonts w:ascii="Arial" w:eastAsia="Arial Unicode MS" w:hAnsi="Arial" w:cs="Arial"/>
          <w:lang w:val="cs-CZ"/>
        </w:rPr>
        <w:t>. Jde o speciální případ s kurzem 1:1. Toky eur nahrazují kurzová přizpůsobení.</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V případě dnes mnohem častějších komoditou nekrytých peněz je pro kurzy rozhodující především měnová politika centrálních bank. Jestliže množství dostupných jednotek nějaké měny vzroste, stane se totéž, co následovalo znehodnocení mincí, daná měna ztrácí vůči ostatním. Naopak jestliže cizí centrální banky znehodnocují své měny rychleji než domácí, pak dojde k relativnímu posílení domácí měny vůči zahraničním. K tomuto kurzovému pohybu může centrální banka zaujmout různé postoje a může reagovat různým způsobem.</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 xml:space="preserve">Jestliže se vzdá jakékoliv intervence, potom se jedná o tzv. režim volně pohyblivého kurzu (tzv. </w:t>
      </w:r>
      <w:proofErr w:type="spellStart"/>
      <w:r w:rsidRPr="002B6850">
        <w:rPr>
          <w:rFonts w:ascii="Arial" w:eastAsia="Arial Unicode MS" w:hAnsi="Arial" w:cs="Arial"/>
          <w:lang w:val="cs-CZ"/>
        </w:rPr>
        <w:t>floating</w:t>
      </w:r>
      <w:proofErr w:type="spellEnd"/>
      <w:r w:rsidRPr="002B6850">
        <w:rPr>
          <w:rFonts w:ascii="Arial" w:eastAsia="Arial Unicode MS" w:hAnsi="Arial" w:cs="Arial"/>
          <w:lang w:val="cs-CZ"/>
        </w:rPr>
        <w:t xml:space="preserve">), přesněji o čistý </w:t>
      </w:r>
      <w:proofErr w:type="spellStart"/>
      <w:r w:rsidRPr="002B6850">
        <w:rPr>
          <w:rFonts w:ascii="Arial" w:eastAsia="Arial Unicode MS" w:hAnsi="Arial" w:cs="Arial"/>
          <w:lang w:val="cs-CZ"/>
        </w:rPr>
        <w:t>floating</w:t>
      </w:r>
      <w:proofErr w:type="spellEnd"/>
      <w:r w:rsidRPr="002B6850">
        <w:rPr>
          <w:rFonts w:ascii="Arial" w:eastAsia="Arial Unicode MS" w:hAnsi="Arial" w:cs="Arial"/>
          <w:lang w:val="cs-CZ"/>
        </w:rPr>
        <w:t xml:space="preserve">. Jestliže si pouze vyhradí právo zasáhnout, aniž by jej často využívala, pak se hovoří o </w:t>
      </w:r>
      <w:proofErr w:type="spellStart"/>
      <w:r w:rsidRPr="002B6850">
        <w:rPr>
          <w:rFonts w:ascii="Arial" w:eastAsia="Arial Unicode MS" w:hAnsi="Arial" w:cs="Arial"/>
          <w:lang w:val="cs-CZ"/>
        </w:rPr>
        <w:t>dirty</w:t>
      </w:r>
      <w:proofErr w:type="spellEnd"/>
      <w:r w:rsidRPr="002B6850">
        <w:rPr>
          <w:rFonts w:ascii="Arial" w:eastAsia="Arial Unicode MS" w:hAnsi="Arial" w:cs="Arial"/>
          <w:lang w:val="cs-CZ"/>
        </w:rPr>
        <w:t xml:space="preserve"> </w:t>
      </w:r>
      <w:proofErr w:type="spellStart"/>
      <w:r w:rsidRPr="002B6850">
        <w:rPr>
          <w:rFonts w:ascii="Arial" w:eastAsia="Arial Unicode MS" w:hAnsi="Arial" w:cs="Arial"/>
          <w:lang w:val="cs-CZ"/>
        </w:rPr>
        <w:t>floatingu</w:t>
      </w:r>
      <w:proofErr w:type="spellEnd"/>
      <w:r w:rsidRPr="002B6850">
        <w:rPr>
          <w:rFonts w:ascii="Arial" w:eastAsia="Arial Unicode MS" w:hAnsi="Arial" w:cs="Arial"/>
          <w:lang w:val="cs-CZ"/>
        </w:rPr>
        <w:t>, což je případ přístupu ČNB ke kurzu české koruny. A konečně, pokud je zavázána udržovat pevnou výši kurzu (obvykle se tím myslí udržování určitého pásma změn), říká se tomu též režim fixních měnových kurzů. Potom musí reagovat na vychýlení kurzu mimo kýžený interval nákupy nebo prodeji na devizových trzích.</w:t>
      </w:r>
    </w:p>
    <w:p w:rsidR="00B44D95" w:rsidRDefault="00B44D95" w:rsidP="00FE00CE">
      <w:pPr>
        <w:pStyle w:val="Nadpis2"/>
        <w:jc w:val="both"/>
        <w:rPr>
          <w:rFonts w:eastAsia="Arial Unicode MS"/>
          <w:lang w:val="cs-CZ"/>
        </w:rPr>
        <w:sectPr w:rsidR="00B44D95" w:rsidSect="00B44D95">
          <w:type w:val="continuous"/>
          <w:pgSz w:w="12240" w:h="15840"/>
          <w:pgMar w:top="1440" w:right="1440" w:bottom="1440" w:left="1440" w:header="720" w:footer="720" w:gutter="0"/>
          <w:cols w:num="2" w:space="720"/>
          <w:docGrid w:linePitch="360"/>
        </w:sectPr>
      </w:pPr>
    </w:p>
    <w:p w:rsidR="00440DF6" w:rsidRPr="002B6850" w:rsidRDefault="00440DF6" w:rsidP="00FE00CE">
      <w:pPr>
        <w:pStyle w:val="Nadpis2"/>
        <w:jc w:val="both"/>
        <w:rPr>
          <w:rFonts w:eastAsia="Arial Unicode MS"/>
          <w:lang w:val="cs-CZ"/>
        </w:rPr>
      </w:pPr>
      <w:bookmarkStart w:id="3" w:name="_Toc296788019"/>
      <w:r w:rsidRPr="002B6850">
        <w:rPr>
          <w:rFonts w:eastAsia="Arial Unicode MS"/>
          <w:lang w:val="cs-CZ"/>
        </w:rPr>
        <w:lastRenderedPageBreak/>
        <w:t>Teorie měnových kurzů</w:t>
      </w:r>
      <w:bookmarkEnd w:id="3"/>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 xml:space="preserve">Způsob, jakým se stanovují výše měnových kurzů na měnových trzích, se snaží vysvětlit teorie měnových kurzů. Jde však obvykle o neúplná vysvětlení. Kurz je totiž tržním </w:t>
      </w:r>
      <w:proofErr w:type="gramStart"/>
      <w:r w:rsidRPr="002B6850">
        <w:rPr>
          <w:rFonts w:ascii="Arial" w:eastAsia="Arial Unicode MS" w:hAnsi="Arial" w:cs="Arial"/>
          <w:lang w:val="cs-CZ"/>
        </w:rPr>
        <w:t>fenoménem a proto</w:t>
      </w:r>
      <w:proofErr w:type="gramEnd"/>
      <w:r w:rsidRPr="002B6850">
        <w:rPr>
          <w:rFonts w:ascii="Arial" w:eastAsia="Arial Unicode MS" w:hAnsi="Arial" w:cs="Arial"/>
          <w:lang w:val="cs-CZ"/>
        </w:rPr>
        <w:t xml:space="preserve"> je nepředpověditelný. Existuje dlouhá řada situací, kdy například lidé jedné země si přejí držet měnu jiné ve velkém množství. Funkci takové rezervní měny v desetiletích po druhé světové válce plnil americký dolar, ale mnohde i německá marka. Obvykle šlo o měny zemí, které nepodléhaly vysoké depreciaci, byly snadno dostupné apod. Za pohyby měnového kurzu může být i spekulace, tedy očekávání mnohých aktérů, že dojde k nějakému vývoji, a nákupy na tomto očekávání založené.</w:t>
      </w:r>
    </w:p>
    <w:p w:rsidR="00440DF6" w:rsidRPr="002B6850" w:rsidRDefault="00440DF6" w:rsidP="00FE00CE">
      <w:pPr>
        <w:pStyle w:val="Nadpis3"/>
        <w:jc w:val="both"/>
        <w:rPr>
          <w:rFonts w:eastAsia="Arial Unicode MS"/>
          <w:lang w:val="cs-CZ"/>
        </w:rPr>
      </w:pPr>
      <w:bookmarkStart w:id="4" w:name="_Toc296788020"/>
      <w:r w:rsidRPr="002B6850">
        <w:rPr>
          <w:rFonts w:eastAsia="Arial Unicode MS"/>
          <w:lang w:val="cs-CZ"/>
        </w:rPr>
        <w:t>Teorie parity kupní síly</w:t>
      </w:r>
      <w:bookmarkEnd w:id="4"/>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Teorie parity kupní síly vychází ze zákona jediné ceny, který říká, že cena zboží, po přepočtení na stejnou měnu, musí být stejná. Protože však existují překážky mezinárodního obchodu (je nutno hradit dopravní náklady; některé statky – zejména služby – jsou neobchodovatelné), měnové ceny si neodpovídají.</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Teorie parity kupní síly má dvě verze:</w:t>
      </w:r>
    </w:p>
    <w:p w:rsidR="00440DF6" w:rsidRPr="002B6850" w:rsidRDefault="00440DF6" w:rsidP="00FE00CE">
      <w:pPr>
        <w:pStyle w:val="Nadpis3"/>
        <w:jc w:val="both"/>
        <w:rPr>
          <w:rFonts w:eastAsia="Arial Unicode MS"/>
          <w:lang w:val="cs-CZ"/>
        </w:rPr>
      </w:pPr>
      <w:bookmarkStart w:id="5" w:name="_Toc296788021"/>
      <w:r w:rsidRPr="002B6850">
        <w:rPr>
          <w:rFonts w:eastAsia="Arial Unicode MS"/>
          <w:lang w:val="cs-CZ"/>
        </w:rPr>
        <w:t>Absolutní</w:t>
      </w:r>
      <w:bookmarkEnd w:id="5"/>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Absolutní verze říká, že nominální měnový kurz je vyjádřen jako poměr cenových hladin:</w:t>
      </w:r>
    </w:p>
    <w:p w:rsidR="003D6FBE" w:rsidRPr="002B6850" w:rsidRDefault="003D6FBE" w:rsidP="00FE00CE">
      <w:pPr>
        <w:jc w:val="both"/>
        <w:rPr>
          <w:rFonts w:ascii="Arial" w:eastAsia="Arial Unicode MS" w:hAnsi="Arial" w:cs="Arial"/>
          <w:lang w:val="cs-CZ"/>
        </w:rPr>
      </w:pPr>
      <m:oMathPara>
        <m:oMath>
          <m:r>
            <w:rPr>
              <w:rFonts w:ascii="Cambria Math" w:eastAsia="Arial Unicode MS" w:hAnsi="Cambria Math" w:cs="Arial"/>
              <w:lang w:val="cs-CZ"/>
            </w:rPr>
            <m:t xml:space="preserve">E= </m:t>
          </m:r>
          <m:f>
            <m:fPr>
              <m:ctrlPr>
                <w:rPr>
                  <w:rFonts w:ascii="Cambria Math" w:eastAsia="Arial Unicode MS" w:hAnsi="Cambria Math" w:cs="Arial"/>
                  <w:i/>
                  <w:lang w:val="cs-CZ"/>
                </w:rPr>
              </m:ctrlPr>
            </m:fPr>
            <m:num>
              <m:r>
                <w:rPr>
                  <w:rFonts w:ascii="Cambria Math" w:eastAsia="Arial Unicode MS" w:hAnsi="Cambria Math" w:cs="Arial"/>
                  <w:lang w:val="cs-CZ"/>
                </w:rPr>
                <m:t>Pdomácí</m:t>
              </m:r>
            </m:num>
            <m:den>
              <m:r>
                <w:rPr>
                  <w:rFonts w:ascii="Cambria Math" w:eastAsia="Arial Unicode MS" w:hAnsi="Cambria Math" w:cs="Arial"/>
                  <w:lang w:val="cs-CZ"/>
                </w:rPr>
                <m:t>Pzahraniční</m:t>
              </m:r>
            </m:den>
          </m:f>
        </m:oMath>
      </m:oMathPara>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kde P je cenová hladina, E je měnový kurz.</w:t>
      </w:r>
    </w:p>
    <w:p w:rsidR="00440DF6" w:rsidRPr="002B6850" w:rsidRDefault="00440DF6" w:rsidP="00FE00CE">
      <w:pPr>
        <w:pStyle w:val="Nadpis3"/>
        <w:jc w:val="both"/>
        <w:rPr>
          <w:rFonts w:eastAsia="Arial Unicode MS"/>
          <w:lang w:val="cs-CZ"/>
        </w:rPr>
      </w:pPr>
      <w:bookmarkStart w:id="6" w:name="_Toc296788022"/>
      <w:r w:rsidRPr="002B6850">
        <w:rPr>
          <w:rFonts w:eastAsia="Arial Unicode MS"/>
          <w:lang w:val="cs-CZ"/>
        </w:rPr>
        <w:t>Relativní</w:t>
      </w:r>
      <w:bookmarkEnd w:id="6"/>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Relativní verze říká, že procentní změna měnového kurzu odpovídá rozdílu změn cenových hladin (tzn. rozdílu měr inflací):</w:t>
      </w:r>
    </w:p>
    <w:p w:rsidR="00440DF6" w:rsidRPr="002B6850" w:rsidRDefault="003D6FBE" w:rsidP="00FE00CE">
      <w:pPr>
        <w:jc w:val="both"/>
        <w:rPr>
          <w:rFonts w:ascii="Arial" w:eastAsia="Arial Unicode MS" w:hAnsi="Arial" w:cs="Arial"/>
          <w:lang w:val="cs-CZ"/>
        </w:rPr>
      </w:pPr>
      <m:oMathPara>
        <m:oMath>
          <m:r>
            <w:rPr>
              <w:rFonts w:ascii="Cambria Math" w:eastAsia="Arial Unicode MS" w:hAnsi="Cambria Math" w:cs="Arial"/>
              <w:lang w:val="cs-CZ"/>
            </w:rPr>
            <m:t>e=</m:t>
          </m:r>
          <m:f>
            <m:fPr>
              <m:ctrlPr>
                <w:rPr>
                  <w:rFonts w:ascii="Cambria Math" w:eastAsia="Arial Unicode MS" w:hAnsi="Cambria Math" w:cs="Arial"/>
                  <w:i/>
                  <w:lang w:val="cs-CZ"/>
                </w:rPr>
              </m:ctrlPr>
            </m:fPr>
            <m:num>
              <m:r>
                <w:rPr>
                  <w:rFonts w:ascii="Cambria Math" w:eastAsia="Arial Unicode MS" w:hAnsi="Cambria Math" w:cs="Arial"/>
                  <w:lang w:val="cs-CZ"/>
                </w:rPr>
                <m:t>πdomácí</m:t>
              </m:r>
            </m:num>
            <m:den>
              <m:r>
                <w:rPr>
                  <w:rFonts w:ascii="Cambria Math" w:eastAsia="Arial Unicode MS" w:hAnsi="Cambria Math" w:cs="Arial"/>
                  <w:lang w:val="cs-CZ"/>
                </w:rPr>
                <m:t>πzahraniční</m:t>
              </m:r>
            </m:den>
          </m:f>
        </m:oMath>
      </m:oMathPara>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kde e je relativní změna nominálního měnového kurzu, π míra inflace.</w:t>
      </w:r>
    </w:p>
    <w:p w:rsidR="00440DF6" w:rsidRPr="002B6850" w:rsidRDefault="00440DF6" w:rsidP="00FE00CE">
      <w:pPr>
        <w:pStyle w:val="Nadpis2"/>
        <w:jc w:val="both"/>
        <w:rPr>
          <w:rFonts w:eastAsia="Arial Unicode MS"/>
          <w:lang w:val="cs-CZ"/>
        </w:rPr>
      </w:pPr>
      <w:bookmarkStart w:id="7" w:name="_Toc296788023"/>
      <w:r w:rsidRPr="002B6850">
        <w:rPr>
          <w:rFonts w:eastAsia="Arial Unicode MS"/>
          <w:lang w:val="cs-CZ"/>
        </w:rPr>
        <w:t>Stanovení měnového kurzu</w:t>
      </w:r>
      <w:bookmarkEnd w:id="7"/>
    </w:p>
    <w:p w:rsidR="00440DF6" w:rsidRPr="002B6850" w:rsidRDefault="00440DF6" w:rsidP="00FE00CE">
      <w:pPr>
        <w:pStyle w:val="Odstavecseseznamem"/>
        <w:numPr>
          <w:ilvl w:val="0"/>
          <w:numId w:val="2"/>
        </w:numPr>
        <w:jc w:val="both"/>
        <w:rPr>
          <w:rFonts w:ascii="Arial" w:eastAsia="Arial Unicode MS" w:hAnsi="Arial" w:cs="Arial"/>
          <w:lang w:val="cs-CZ"/>
        </w:rPr>
      </w:pPr>
      <w:r w:rsidRPr="002B6850">
        <w:rPr>
          <w:rFonts w:ascii="Arial" w:eastAsia="Arial Unicode MS" w:hAnsi="Arial" w:cs="Arial"/>
          <w:lang w:val="cs-CZ"/>
        </w:rPr>
        <w:t xml:space="preserve">U nesměnitelných měn: </w:t>
      </w:r>
    </w:p>
    <w:p w:rsidR="00440DF6" w:rsidRPr="002B6850" w:rsidRDefault="00440DF6" w:rsidP="00FE00CE">
      <w:pPr>
        <w:pStyle w:val="Odstavecseseznamem"/>
        <w:numPr>
          <w:ilvl w:val="1"/>
          <w:numId w:val="2"/>
        </w:numPr>
        <w:jc w:val="both"/>
        <w:rPr>
          <w:rFonts w:ascii="Arial" w:eastAsia="Arial Unicode MS" w:hAnsi="Arial" w:cs="Arial"/>
          <w:lang w:val="cs-CZ"/>
        </w:rPr>
      </w:pPr>
      <w:r w:rsidRPr="002B6850">
        <w:rPr>
          <w:rFonts w:ascii="Arial" w:eastAsia="Arial Unicode MS" w:hAnsi="Arial" w:cs="Arial"/>
          <w:lang w:val="cs-CZ"/>
        </w:rPr>
        <w:t xml:space="preserve">Kurzy se nevytváří na devizových trzích, jsou to kurzy nepružné a jsou stanoveny centrálními orgány státu kde se </w:t>
      </w:r>
      <w:proofErr w:type="spellStart"/>
      <w:r w:rsidRPr="002B6850">
        <w:rPr>
          <w:rFonts w:ascii="Arial" w:eastAsia="Arial Unicode MS" w:hAnsi="Arial" w:cs="Arial"/>
          <w:lang w:val="cs-CZ"/>
        </w:rPr>
        <w:t>použivá</w:t>
      </w:r>
      <w:proofErr w:type="spellEnd"/>
      <w:r w:rsidRPr="002B6850">
        <w:rPr>
          <w:rFonts w:ascii="Arial" w:eastAsia="Arial Unicode MS" w:hAnsi="Arial" w:cs="Arial"/>
          <w:lang w:val="cs-CZ"/>
        </w:rPr>
        <w:t xml:space="preserve"> nesměnitelná měna.</w:t>
      </w:r>
    </w:p>
    <w:p w:rsidR="00440DF6" w:rsidRPr="002B6850" w:rsidRDefault="00440DF6" w:rsidP="00FE00CE">
      <w:pPr>
        <w:pStyle w:val="Odstavecseseznamem"/>
        <w:numPr>
          <w:ilvl w:val="0"/>
          <w:numId w:val="2"/>
        </w:numPr>
        <w:jc w:val="both"/>
        <w:rPr>
          <w:rFonts w:ascii="Arial" w:eastAsia="Arial Unicode MS" w:hAnsi="Arial" w:cs="Arial"/>
          <w:lang w:val="cs-CZ"/>
        </w:rPr>
      </w:pPr>
      <w:r w:rsidRPr="002B6850">
        <w:rPr>
          <w:rFonts w:ascii="Arial" w:eastAsia="Arial Unicode MS" w:hAnsi="Arial" w:cs="Arial"/>
          <w:lang w:val="cs-CZ"/>
        </w:rPr>
        <w:t xml:space="preserve">U volně směnitelných měn: </w:t>
      </w:r>
    </w:p>
    <w:p w:rsidR="00440DF6" w:rsidRPr="002B6850" w:rsidRDefault="00440DF6" w:rsidP="00FE00CE">
      <w:pPr>
        <w:pStyle w:val="Odstavecseseznamem"/>
        <w:numPr>
          <w:ilvl w:val="1"/>
          <w:numId w:val="2"/>
        </w:numPr>
        <w:jc w:val="both"/>
        <w:rPr>
          <w:rFonts w:ascii="Arial" w:eastAsia="Arial Unicode MS" w:hAnsi="Arial" w:cs="Arial"/>
          <w:lang w:val="cs-CZ"/>
        </w:rPr>
      </w:pPr>
      <w:r w:rsidRPr="002B6850">
        <w:rPr>
          <w:rFonts w:ascii="Arial" w:eastAsia="Arial Unicode MS" w:hAnsi="Arial" w:cs="Arial"/>
          <w:lang w:val="cs-CZ"/>
        </w:rPr>
        <w:t xml:space="preserve">Volně směnitelné měny využívají pružné kurzy - neustále se měnící, systém pružných kurzů existuje ve třech variantách: </w:t>
      </w:r>
    </w:p>
    <w:p w:rsidR="00440DF6" w:rsidRPr="002B6850" w:rsidRDefault="00440DF6" w:rsidP="00FE00CE">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Kurzy volně pohyblivé (</w:t>
      </w:r>
      <w:proofErr w:type="spellStart"/>
      <w:r w:rsidRPr="002B6850">
        <w:rPr>
          <w:rFonts w:ascii="Arial" w:eastAsia="Arial Unicode MS" w:hAnsi="Arial" w:cs="Arial"/>
          <w:lang w:val="cs-CZ"/>
        </w:rPr>
        <w:t>floating</w:t>
      </w:r>
      <w:proofErr w:type="spellEnd"/>
      <w:r w:rsidRPr="002B6850">
        <w:rPr>
          <w:rFonts w:ascii="Arial" w:eastAsia="Arial Unicode MS" w:hAnsi="Arial" w:cs="Arial"/>
          <w:lang w:val="cs-CZ"/>
        </w:rPr>
        <w:t>): Kurz kolísá volně podle nabídky a poptávky bez zásahů centrální banky - bez devizových intervencí.</w:t>
      </w:r>
    </w:p>
    <w:p w:rsidR="00440DF6" w:rsidRPr="002B6850" w:rsidRDefault="00440DF6" w:rsidP="00FE00CE">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lastRenderedPageBreak/>
        <w:t xml:space="preserve">Řízený </w:t>
      </w:r>
      <w:proofErr w:type="spellStart"/>
      <w:r w:rsidRPr="002B6850">
        <w:rPr>
          <w:rFonts w:ascii="Arial" w:eastAsia="Arial Unicode MS" w:hAnsi="Arial" w:cs="Arial"/>
          <w:lang w:val="cs-CZ"/>
        </w:rPr>
        <w:t>floating</w:t>
      </w:r>
      <w:proofErr w:type="spellEnd"/>
      <w:r w:rsidRPr="002B6850">
        <w:rPr>
          <w:rFonts w:ascii="Arial" w:eastAsia="Arial Unicode MS" w:hAnsi="Arial" w:cs="Arial"/>
          <w:lang w:val="cs-CZ"/>
        </w:rPr>
        <w:t xml:space="preserve"> (pohyblivý kurz v rámci limitů): centrální banka zasahuje v případě, že se kurz odchyluje od ústředního kurzu více, než je stanovena hranice fluktuačního pásma.</w:t>
      </w:r>
    </w:p>
    <w:p w:rsidR="00440DF6" w:rsidRPr="002B6850" w:rsidRDefault="00440DF6" w:rsidP="00FE00CE">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Vázané kurzy: jsou u nejméně používaných měn, které svůj kurz odvozují od vývoje kurzu významné měny nebo koše měn.</w:t>
      </w:r>
    </w:p>
    <w:p w:rsidR="00440DF6" w:rsidRPr="002B6850" w:rsidRDefault="00440DF6" w:rsidP="00FE00CE">
      <w:pPr>
        <w:pStyle w:val="Nadpis3"/>
        <w:jc w:val="both"/>
        <w:rPr>
          <w:rFonts w:eastAsia="Arial Unicode MS"/>
          <w:lang w:val="cs-CZ"/>
        </w:rPr>
      </w:pPr>
      <w:bookmarkStart w:id="8" w:name="_Toc296788024"/>
      <w:r w:rsidRPr="002B6850">
        <w:rPr>
          <w:rFonts w:eastAsia="Arial Unicode MS"/>
          <w:lang w:val="cs-CZ"/>
        </w:rPr>
        <w:t>Změny měnového kurzu</w:t>
      </w:r>
      <w:bookmarkEnd w:id="8"/>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 xml:space="preserve">Měnové kurzy konvertibilních měn s čistým nebo řízeným </w:t>
      </w:r>
      <w:proofErr w:type="spellStart"/>
      <w:r w:rsidRPr="002B6850">
        <w:rPr>
          <w:rFonts w:ascii="Arial" w:eastAsia="Arial Unicode MS" w:hAnsi="Arial" w:cs="Arial"/>
          <w:lang w:val="cs-CZ"/>
        </w:rPr>
        <w:t>floatingem</w:t>
      </w:r>
      <w:proofErr w:type="spellEnd"/>
      <w:r w:rsidRPr="002B6850">
        <w:rPr>
          <w:rFonts w:ascii="Arial" w:eastAsia="Arial Unicode MS" w:hAnsi="Arial" w:cs="Arial"/>
          <w:lang w:val="cs-CZ"/>
        </w:rPr>
        <w:t xml:space="preserve"> jsou pohyblivé v závislosti na nabídce a poptávce po měně na mezinárodních devizových trzích. Možné případy:</w:t>
      </w:r>
    </w:p>
    <w:p w:rsidR="00440DF6" w:rsidRPr="002B6850" w:rsidRDefault="00440DF6" w:rsidP="00FE00CE">
      <w:pPr>
        <w:pStyle w:val="Odstavecseseznamem"/>
        <w:numPr>
          <w:ilvl w:val="0"/>
          <w:numId w:val="3"/>
        </w:numPr>
        <w:jc w:val="both"/>
        <w:rPr>
          <w:rFonts w:ascii="Arial" w:eastAsia="Arial Unicode MS" w:hAnsi="Arial" w:cs="Arial"/>
          <w:lang w:val="cs-CZ"/>
        </w:rPr>
      </w:pPr>
      <w:r w:rsidRPr="002B6850">
        <w:rPr>
          <w:rFonts w:ascii="Arial" w:eastAsia="Arial Unicode MS" w:hAnsi="Arial" w:cs="Arial"/>
          <w:lang w:val="cs-CZ"/>
        </w:rPr>
        <w:t>Zhodnocení měny (</w:t>
      </w:r>
      <w:proofErr w:type="spellStart"/>
      <w:r w:rsidRPr="002B6850">
        <w:rPr>
          <w:rFonts w:ascii="Arial" w:eastAsia="Arial Unicode MS" w:hAnsi="Arial" w:cs="Arial"/>
          <w:lang w:val="cs-CZ"/>
        </w:rPr>
        <w:t>apreciace</w:t>
      </w:r>
      <w:proofErr w:type="spellEnd"/>
      <w:r w:rsidRPr="002B6850">
        <w:rPr>
          <w:rFonts w:ascii="Arial" w:eastAsia="Arial Unicode MS" w:hAnsi="Arial" w:cs="Arial"/>
          <w:lang w:val="cs-CZ"/>
        </w:rPr>
        <w:t xml:space="preserve">) </w:t>
      </w:r>
    </w:p>
    <w:p w:rsidR="00440DF6" w:rsidRPr="002B6850" w:rsidRDefault="00440DF6" w:rsidP="00FE00CE">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měna vůči jiné posiluje</w:t>
      </w:r>
    </w:p>
    <w:p w:rsidR="00440DF6" w:rsidRPr="002B6850" w:rsidRDefault="00440DF6" w:rsidP="00FE00CE">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zlevňuje zahraniční zboží dovážené do země, zvýhodňuje dovozce</w:t>
      </w:r>
    </w:p>
    <w:p w:rsidR="00440DF6" w:rsidRPr="002B6850" w:rsidRDefault="00440DF6" w:rsidP="00FE00CE">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zdražuje domácí zboží vyvážené na zahraniční trhy, znevýhodňuje vývozce</w:t>
      </w:r>
    </w:p>
    <w:p w:rsidR="00440DF6" w:rsidRPr="002B6850" w:rsidRDefault="00440DF6" w:rsidP="00FE00CE">
      <w:pPr>
        <w:pStyle w:val="Odstavecseseznamem"/>
        <w:numPr>
          <w:ilvl w:val="0"/>
          <w:numId w:val="4"/>
        </w:numPr>
        <w:jc w:val="both"/>
        <w:rPr>
          <w:rFonts w:ascii="Arial" w:eastAsia="Arial Unicode MS" w:hAnsi="Arial" w:cs="Arial"/>
          <w:lang w:val="cs-CZ"/>
        </w:rPr>
      </w:pPr>
      <w:r w:rsidRPr="002B6850">
        <w:rPr>
          <w:rFonts w:ascii="Arial" w:eastAsia="Arial Unicode MS" w:hAnsi="Arial" w:cs="Arial"/>
          <w:lang w:val="cs-CZ"/>
        </w:rPr>
        <w:t xml:space="preserve">Znehodnocení měny (depreciace) </w:t>
      </w:r>
    </w:p>
    <w:p w:rsidR="00440DF6" w:rsidRPr="002B6850" w:rsidRDefault="00440DF6" w:rsidP="00FE00CE">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měna oslabuje vůči jiným měnám</w:t>
      </w:r>
    </w:p>
    <w:p w:rsidR="00440DF6" w:rsidRPr="002B6850" w:rsidRDefault="00440DF6" w:rsidP="00FE00CE">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zdražuje zahraniční zboží dovážené do země, znevýhodňuje dovozce</w:t>
      </w:r>
    </w:p>
    <w:p w:rsidR="00440DF6" w:rsidRPr="002B6850" w:rsidRDefault="00440DF6" w:rsidP="00FE00CE">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zlevňuje domácí zboží vyvážené na zahraniční trhy, zvýhodňuje vývozce</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U volně nesměnitelných měn a měn s fixním měnovým kurzem může stát (resp. jeho měnová autorita, zpravidla centrální banka) vyhlásit znehodnocení měny (devalvaci) nebo zhodnocení měny (revalvaci).</w:t>
      </w:r>
    </w:p>
    <w:p w:rsidR="00440DF6" w:rsidRPr="002B6850" w:rsidRDefault="00440DF6" w:rsidP="00FE00CE">
      <w:pPr>
        <w:pStyle w:val="Nadpis3"/>
        <w:jc w:val="both"/>
        <w:rPr>
          <w:rFonts w:eastAsia="Arial Unicode MS"/>
          <w:lang w:val="cs-CZ"/>
        </w:rPr>
      </w:pPr>
      <w:bookmarkStart w:id="9" w:name="_Toc296788025"/>
      <w:r w:rsidRPr="002B6850">
        <w:rPr>
          <w:rFonts w:eastAsia="Arial Unicode MS"/>
          <w:lang w:val="cs-CZ"/>
        </w:rPr>
        <w:t>Vlivy působící na měnový kurz</w:t>
      </w:r>
      <w:bookmarkEnd w:id="9"/>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Nabídka a poptávka po měně</w:t>
      </w:r>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Rozsáhlé nákupy a prodeje</w:t>
      </w:r>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Saldo obchodní a platební bilance</w:t>
      </w:r>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Výše úrokových sazeb</w:t>
      </w:r>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Ekonomická a politická situace a aktuální události</w:t>
      </w:r>
    </w:p>
    <w:p w:rsidR="00440DF6" w:rsidRPr="002B6850" w:rsidRDefault="00440DF6" w:rsidP="00FE00CE">
      <w:pPr>
        <w:pStyle w:val="Nadpis2"/>
        <w:jc w:val="both"/>
        <w:rPr>
          <w:rFonts w:eastAsia="Arial Unicode MS"/>
          <w:lang w:val="cs-CZ"/>
        </w:rPr>
      </w:pPr>
      <w:bookmarkStart w:id="10" w:name="_Toc296788026"/>
      <w:r w:rsidRPr="002B6850">
        <w:rPr>
          <w:rFonts w:eastAsia="Arial Unicode MS"/>
          <w:lang w:val="cs-CZ"/>
        </w:rPr>
        <w:t>Související články</w:t>
      </w:r>
      <w:bookmarkEnd w:id="10"/>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Měna</w:t>
      </w:r>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Měnové riziko</w:t>
      </w:r>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Centrální banka</w:t>
      </w:r>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Státní dluh</w:t>
      </w:r>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Citováno z „http://cs.wikipedia.org/wiki/M%C4%9Bnov%C3%BD_kurz“</w:t>
      </w:r>
    </w:p>
    <w:p w:rsidR="0037215D" w:rsidRDefault="00440DF6" w:rsidP="0037215D">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Kategorie: Peníze</w:t>
      </w:r>
    </w:p>
    <w:p w:rsidR="00F2721C" w:rsidRDefault="00F2721C" w:rsidP="00F2721C">
      <w:pPr>
        <w:jc w:val="both"/>
        <w:rPr>
          <w:rFonts w:ascii="Arial" w:eastAsia="Arial Unicode MS" w:hAnsi="Arial" w:cs="Arial"/>
          <w:lang w:val="cs-CZ"/>
        </w:rPr>
      </w:pPr>
    </w:p>
    <w:p w:rsidR="00F2721C" w:rsidRDefault="00F2721C" w:rsidP="00F2721C">
      <w:pPr>
        <w:jc w:val="both"/>
        <w:rPr>
          <w:rFonts w:ascii="Arial" w:eastAsia="Arial Unicode MS" w:hAnsi="Arial" w:cs="Arial"/>
          <w:lang w:val="cs-CZ"/>
        </w:rPr>
      </w:pPr>
    </w:p>
    <w:p w:rsidR="00F2721C" w:rsidRPr="00F2721C" w:rsidRDefault="00F2721C" w:rsidP="00F2721C">
      <w:pPr>
        <w:jc w:val="both"/>
        <w:rPr>
          <w:rFonts w:ascii="Arial" w:eastAsia="Arial Unicode MS" w:hAnsi="Arial" w:cs="Arial"/>
          <w:lang w:val="cs-CZ"/>
        </w:rPr>
      </w:pPr>
    </w:p>
    <w:p w:rsidR="00E1767D" w:rsidRPr="0037215D" w:rsidRDefault="00163B28" w:rsidP="0037215D">
      <w:pPr>
        <w:pStyle w:val="Nadpis1"/>
        <w:rPr>
          <w:rFonts w:eastAsia="Arial Unicode MS"/>
          <w:lang w:val="cs-CZ"/>
        </w:rPr>
      </w:pPr>
      <w:bookmarkStart w:id="11" w:name="_Toc296788027"/>
      <w:r w:rsidRPr="0037215D">
        <w:rPr>
          <w:rFonts w:eastAsia="Arial Unicode MS"/>
          <w:lang w:val="cs-CZ"/>
        </w:rPr>
        <w:lastRenderedPageBreak/>
        <w:t>Dnešní kurz</w:t>
      </w:r>
      <w:bookmarkEnd w:id="11"/>
    </w:p>
    <w:p w:rsidR="00163B28" w:rsidRPr="002B6850" w:rsidRDefault="00163B28" w:rsidP="00163B28">
      <w:pPr>
        <w:rPr>
          <w:lang w:val="cs-CZ"/>
        </w:rPr>
      </w:pPr>
    </w:p>
    <w:p w:rsidR="0037215D" w:rsidRDefault="0037215D" w:rsidP="00163B28">
      <w:pPr>
        <w:spacing w:before="150" w:after="150" w:line="336" w:lineRule="atLeast"/>
        <w:jc w:val="center"/>
        <w:cnfStyle w:val="101000000000"/>
        <w:rPr>
          <w:rFonts w:ascii="Arial" w:eastAsia="Times New Roman" w:hAnsi="Arial" w:cs="Arial"/>
          <w:bCs/>
          <w:color w:val="FFFFFF"/>
          <w:sz w:val="18"/>
          <w:szCs w:val="18"/>
          <w:lang w:val="cs-CZ"/>
        </w:rPr>
        <w:sectPr w:rsidR="0037215D" w:rsidSect="00B44D95">
          <w:type w:val="continuous"/>
          <w:pgSz w:w="12240" w:h="15840"/>
          <w:pgMar w:top="1440" w:right="1440" w:bottom="1440" w:left="1440" w:header="720" w:footer="720" w:gutter="0"/>
          <w:cols w:space="720"/>
          <w:docGrid w:linePitch="360"/>
        </w:sectPr>
      </w:pPr>
    </w:p>
    <w:tbl>
      <w:tblPr>
        <w:tblStyle w:val="Stednmka3zvraznn3"/>
        <w:tblW w:w="0" w:type="auto"/>
        <w:tblLook w:val="04A0"/>
      </w:tblPr>
      <w:tblGrid>
        <w:gridCol w:w="1289"/>
        <w:gridCol w:w="907"/>
        <w:gridCol w:w="937"/>
        <w:gridCol w:w="636"/>
        <w:gridCol w:w="767"/>
      </w:tblGrid>
      <w:tr w:rsidR="003D6FBE" w:rsidRPr="002B6850" w:rsidTr="003D6FBE">
        <w:trPr>
          <w:cnfStyle w:val="100000000000"/>
          <w:trHeight w:hRule="exact" w:val="720"/>
        </w:trPr>
        <w:tc>
          <w:tcPr>
            <w:cnfStyle w:val="001000000000"/>
            <w:tcW w:w="0" w:type="auto"/>
            <w:hideMark/>
          </w:tcPr>
          <w:p w:rsidR="00163B28" w:rsidRPr="00163B28" w:rsidRDefault="00163B28" w:rsidP="00163B28">
            <w:pPr>
              <w:spacing w:before="150" w:after="150" w:line="336" w:lineRule="atLeast"/>
              <w:jc w:val="center"/>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lastRenderedPageBreak/>
              <w:t>země</w:t>
            </w:r>
          </w:p>
        </w:tc>
        <w:tc>
          <w:tcPr>
            <w:tcW w:w="0" w:type="auto"/>
            <w:hideMark/>
          </w:tcPr>
          <w:p w:rsidR="00163B28" w:rsidRPr="00163B28" w:rsidRDefault="00163B28" w:rsidP="00163B28">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měna</w:t>
            </w:r>
          </w:p>
        </w:tc>
        <w:tc>
          <w:tcPr>
            <w:tcW w:w="0" w:type="auto"/>
            <w:hideMark/>
          </w:tcPr>
          <w:p w:rsidR="00163B28" w:rsidRPr="00163B28" w:rsidRDefault="00163B28" w:rsidP="00163B28">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množství</w:t>
            </w:r>
          </w:p>
        </w:tc>
        <w:tc>
          <w:tcPr>
            <w:tcW w:w="0" w:type="auto"/>
            <w:hideMark/>
          </w:tcPr>
          <w:p w:rsidR="00163B28" w:rsidRPr="00163B28" w:rsidRDefault="00163B28" w:rsidP="00163B28">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kód</w:t>
            </w:r>
          </w:p>
        </w:tc>
        <w:tc>
          <w:tcPr>
            <w:tcW w:w="0" w:type="auto"/>
            <w:hideMark/>
          </w:tcPr>
          <w:p w:rsidR="00163B28" w:rsidRPr="00163B28" w:rsidRDefault="00163B28" w:rsidP="00163B28">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kurz</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Austrálie</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AUD</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18,019</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Brazílie</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proofErr w:type="spellStart"/>
            <w:r w:rsidRPr="00163B28">
              <w:rPr>
                <w:rFonts w:ascii="Arial" w:eastAsia="Times New Roman" w:hAnsi="Arial" w:cs="Arial"/>
                <w:color w:val="333333"/>
                <w:sz w:val="18"/>
                <w:szCs w:val="18"/>
                <w:lang w:val="cs-CZ"/>
              </w:rPr>
              <w:t>real</w:t>
            </w:r>
            <w:proofErr w:type="spellEnd"/>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BRL</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10,606</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Bulharsko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lev</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BGN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12,308</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Čína</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proofErr w:type="spellStart"/>
            <w:r w:rsidRPr="00163B28">
              <w:rPr>
                <w:rFonts w:ascii="Arial" w:eastAsia="Times New Roman" w:hAnsi="Arial" w:cs="Arial"/>
                <w:color w:val="333333"/>
                <w:sz w:val="18"/>
                <w:szCs w:val="18"/>
                <w:lang w:val="cs-CZ"/>
              </w:rPr>
              <w:t>renminbi</w:t>
            </w:r>
            <w:proofErr w:type="spellEnd"/>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CNY</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2,706</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Dánsko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koruna</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DKK</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3,229</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EMU</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euro</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EUR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24,070</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Filipíny</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peso</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PHP</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40,695</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Hongkong</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HKD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2,281</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Chorvatsko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kuna</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HRK</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3,247</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Indie</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rupie</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INR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39,037</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proofErr w:type="spellStart"/>
            <w:r w:rsidRPr="00163B28">
              <w:rPr>
                <w:rFonts w:ascii="Arial" w:eastAsia="Times New Roman" w:hAnsi="Arial" w:cs="Arial"/>
                <w:b w:val="0"/>
                <w:color w:val="333333"/>
                <w:sz w:val="18"/>
                <w:szCs w:val="18"/>
                <w:lang w:val="cs-CZ"/>
              </w:rPr>
              <w:t>Indonesie</w:t>
            </w:r>
            <w:proofErr w:type="spellEnd"/>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rupie</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IDR</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1,983</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Izrael</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šekel</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ILS</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4,817</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Japonsko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jen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JPY</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21,581</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 xml:space="preserve">Jihoafrická </w:t>
            </w:r>
            <w:proofErr w:type="spellStart"/>
            <w:r w:rsidRPr="00163B28">
              <w:rPr>
                <w:rFonts w:ascii="Arial" w:eastAsia="Times New Roman" w:hAnsi="Arial" w:cs="Arial"/>
                <w:b w:val="0"/>
                <w:color w:val="333333"/>
                <w:sz w:val="18"/>
                <w:szCs w:val="18"/>
                <w:lang w:val="cs-CZ"/>
              </w:rPr>
              <w:t>rep</w:t>
            </w:r>
            <w:proofErr w:type="spellEnd"/>
            <w:r w:rsidRPr="00163B28">
              <w:rPr>
                <w:rFonts w:ascii="Arial" w:eastAsia="Times New Roman" w:hAnsi="Arial" w:cs="Arial"/>
                <w:b w:val="0"/>
                <w:color w:val="333333"/>
                <w:sz w:val="18"/>
                <w:szCs w:val="18"/>
                <w:lang w:val="cs-CZ"/>
              </w:rPr>
              <w:t>.</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rand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ZAR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2,442</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Jižní Korea</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proofErr w:type="spellStart"/>
            <w:r w:rsidRPr="00163B28">
              <w:rPr>
                <w:rFonts w:ascii="Arial" w:eastAsia="Times New Roman" w:hAnsi="Arial" w:cs="Arial"/>
                <w:color w:val="333333"/>
                <w:sz w:val="18"/>
                <w:szCs w:val="18"/>
                <w:lang w:val="cs-CZ"/>
              </w:rPr>
              <w:t>won</w:t>
            </w:r>
            <w:proofErr w:type="spellEnd"/>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KRW</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1,607</w:t>
            </w:r>
          </w:p>
        </w:tc>
      </w:tr>
      <w:tr w:rsidR="00163B28" w:rsidRPr="00F2721C" w:rsidTr="003D6FBE">
        <w:trPr>
          <w:trHeight w:hRule="exact" w:val="720"/>
        </w:trPr>
        <w:tc>
          <w:tcPr>
            <w:cnfStyle w:val="001000000000"/>
            <w:tcW w:w="0" w:type="auto"/>
            <w:hideMark/>
          </w:tcPr>
          <w:p w:rsidR="00163B28" w:rsidRPr="00F2721C" w:rsidRDefault="00163B28" w:rsidP="00163B28">
            <w:pPr>
              <w:spacing w:before="150" w:after="150" w:line="336" w:lineRule="atLeast"/>
              <w:rPr>
                <w:rFonts w:ascii="Arial" w:eastAsia="Times New Roman" w:hAnsi="Arial" w:cs="Arial"/>
                <w:b w:val="0"/>
                <w:color w:val="333333"/>
                <w:sz w:val="18"/>
                <w:szCs w:val="18"/>
                <w:lang w:val="cs-CZ"/>
              </w:rPr>
            </w:pPr>
            <w:r w:rsidRPr="00F2721C">
              <w:rPr>
                <w:rFonts w:ascii="Arial" w:eastAsia="Times New Roman" w:hAnsi="Arial" w:cs="Arial"/>
                <w:b w:val="0"/>
                <w:color w:val="333333"/>
                <w:sz w:val="18"/>
                <w:szCs w:val="18"/>
                <w:lang w:val="cs-CZ"/>
              </w:rPr>
              <w:lastRenderedPageBreak/>
              <w:t>Kanada</w:t>
            </w:r>
          </w:p>
        </w:tc>
        <w:tc>
          <w:tcPr>
            <w:tcW w:w="0" w:type="auto"/>
            <w:hideMark/>
          </w:tcPr>
          <w:p w:rsidR="00163B28" w:rsidRPr="00F2721C" w:rsidRDefault="00163B28" w:rsidP="00163B28">
            <w:pPr>
              <w:spacing w:before="150" w:after="150" w:line="336" w:lineRule="atLeast"/>
              <w:cnfStyle w:val="000000000000"/>
              <w:rPr>
                <w:rFonts w:ascii="Arial" w:eastAsia="Times New Roman" w:hAnsi="Arial" w:cs="Arial"/>
                <w:color w:val="333333"/>
                <w:sz w:val="18"/>
                <w:szCs w:val="18"/>
                <w:lang w:val="cs-CZ"/>
              </w:rPr>
            </w:pPr>
            <w:r w:rsidRPr="00F2721C">
              <w:rPr>
                <w:rFonts w:ascii="Arial" w:eastAsia="Times New Roman" w:hAnsi="Arial" w:cs="Arial"/>
                <w:color w:val="333333"/>
                <w:sz w:val="18"/>
                <w:szCs w:val="18"/>
                <w:lang w:val="cs-CZ"/>
              </w:rPr>
              <w:t>dolar</w:t>
            </w:r>
          </w:p>
        </w:tc>
        <w:tc>
          <w:tcPr>
            <w:tcW w:w="0" w:type="auto"/>
            <w:hideMark/>
          </w:tcPr>
          <w:p w:rsidR="00163B28" w:rsidRPr="00F2721C"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F2721C">
              <w:rPr>
                <w:rFonts w:ascii="Arial" w:eastAsia="Times New Roman" w:hAnsi="Arial" w:cs="Arial"/>
                <w:color w:val="333333"/>
                <w:sz w:val="18"/>
                <w:szCs w:val="18"/>
                <w:lang w:val="cs-CZ"/>
              </w:rPr>
              <w:t>1</w:t>
            </w:r>
          </w:p>
        </w:tc>
        <w:tc>
          <w:tcPr>
            <w:tcW w:w="0" w:type="auto"/>
            <w:hideMark/>
          </w:tcPr>
          <w:p w:rsidR="00163B28" w:rsidRPr="00F2721C" w:rsidRDefault="00163B28" w:rsidP="00163B28">
            <w:pPr>
              <w:spacing w:before="150" w:after="150" w:line="336" w:lineRule="atLeast"/>
              <w:cnfStyle w:val="000000000000"/>
              <w:rPr>
                <w:rFonts w:ascii="Arial" w:eastAsia="Times New Roman" w:hAnsi="Arial" w:cs="Arial"/>
                <w:color w:val="333333"/>
                <w:sz w:val="18"/>
                <w:szCs w:val="18"/>
                <w:lang w:val="cs-CZ"/>
              </w:rPr>
            </w:pPr>
            <w:r w:rsidRPr="00F2721C">
              <w:rPr>
                <w:rFonts w:ascii="Arial" w:eastAsia="Times New Roman" w:hAnsi="Arial" w:cs="Arial"/>
                <w:color w:val="333333"/>
                <w:sz w:val="18"/>
                <w:szCs w:val="18"/>
                <w:lang w:val="cs-CZ"/>
              </w:rPr>
              <w:t>CAD</w:t>
            </w:r>
          </w:p>
        </w:tc>
        <w:tc>
          <w:tcPr>
            <w:tcW w:w="0" w:type="auto"/>
            <w:hideMark/>
          </w:tcPr>
          <w:p w:rsidR="00163B28" w:rsidRPr="00F2721C"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F2721C">
              <w:rPr>
                <w:rFonts w:ascii="Arial" w:eastAsia="Times New Roman" w:hAnsi="Arial" w:cs="Arial"/>
                <w:color w:val="333333"/>
                <w:sz w:val="18"/>
                <w:szCs w:val="18"/>
                <w:lang w:val="cs-CZ"/>
              </w:rPr>
              <w:t>17,986</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Litva</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proofErr w:type="spellStart"/>
            <w:r w:rsidRPr="00163B28">
              <w:rPr>
                <w:rFonts w:ascii="Arial" w:eastAsia="Times New Roman" w:hAnsi="Arial" w:cs="Arial"/>
                <w:color w:val="333333"/>
                <w:sz w:val="18"/>
                <w:szCs w:val="18"/>
                <w:lang w:val="cs-CZ"/>
              </w:rPr>
              <w:t>litas</w:t>
            </w:r>
            <w:proofErr w:type="spellEnd"/>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LTL</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6,971</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Lotyšsko</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lat</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LVL</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34,312</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Maďarsko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forint</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HUF</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8,944</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Malajsie</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proofErr w:type="spellStart"/>
            <w:r w:rsidRPr="00163B28">
              <w:rPr>
                <w:rFonts w:ascii="Arial" w:eastAsia="Times New Roman" w:hAnsi="Arial" w:cs="Arial"/>
                <w:color w:val="333333"/>
                <w:sz w:val="18"/>
                <w:szCs w:val="18"/>
                <w:lang w:val="cs-CZ"/>
              </w:rPr>
              <w:t>ringgit</w:t>
            </w:r>
            <w:proofErr w:type="spellEnd"/>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MYR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5,845</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Mexiko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peso</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MXN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1,483</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MMF</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SDR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XDR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27,670</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Norsko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koruna</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NOK</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3,069</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Nový Zéland</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NZD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13,687</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Polsko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zlotý</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PLN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6,214</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Rumunsko</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 xml:space="preserve">nové </w:t>
            </w:r>
            <w:proofErr w:type="spellStart"/>
            <w:r w:rsidRPr="00163B28">
              <w:rPr>
                <w:rFonts w:ascii="Arial" w:eastAsia="Times New Roman" w:hAnsi="Arial" w:cs="Arial"/>
                <w:color w:val="333333"/>
                <w:sz w:val="18"/>
                <w:szCs w:val="18"/>
                <w:lang w:val="cs-CZ"/>
              </w:rPr>
              <w:t>leu</w:t>
            </w:r>
            <w:proofErr w:type="spellEnd"/>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RON</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5,653</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Rusko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rubl</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RUB</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60,462</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Singapur</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SGD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13,923</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Švédsko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koruna</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SEK</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2,734</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Švýcarsko</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frank</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CHF</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18,582</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Thajsko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baht</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THB</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57,765</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lastRenderedPageBreak/>
              <w:t>Turecko</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nová lira</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TRY</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11,258</w:t>
            </w:r>
          </w:p>
        </w:tc>
      </w:tr>
      <w:tr w:rsidR="00163B28" w:rsidRPr="00163B28" w:rsidTr="003D6FBE">
        <w:trPr>
          <w:cnfStyle w:val="000000100000"/>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USA</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USD</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17,754</w:t>
            </w:r>
          </w:p>
        </w:tc>
      </w:tr>
      <w:tr w:rsidR="00163B28" w:rsidRPr="00163B28" w:rsidTr="003D6FBE">
        <w:trPr>
          <w:trHeight w:hRule="exact" w:val="720"/>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lastRenderedPageBreak/>
              <w:t>Velká Británie</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libra</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GBP</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28,640</w:t>
            </w:r>
          </w:p>
        </w:tc>
      </w:tr>
    </w:tbl>
    <w:p w:rsidR="0037215D" w:rsidRDefault="0037215D" w:rsidP="00163B28">
      <w:pPr>
        <w:rPr>
          <w:lang w:val="cs-CZ"/>
        </w:rPr>
        <w:sectPr w:rsidR="0037215D" w:rsidSect="0037215D">
          <w:type w:val="continuous"/>
          <w:pgSz w:w="12240" w:h="15840"/>
          <w:pgMar w:top="1440" w:right="1440" w:bottom="1440" w:left="1440" w:header="720" w:footer="720" w:gutter="0"/>
          <w:cols w:num="2" w:space="720"/>
          <w:docGrid w:linePitch="360"/>
        </w:sectPr>
      </w:pPr>
    </w:p>
    <w:p w:rsidR="00163B28" w:rsidRPr="002B6850" w:rsidRDefault="00163B28" w:rsidP="00163B28">
      <w:pPr>
        <w:rPr>
          <w:lang w:val="cs-CZ"/>
        </w:rPr>
      </w:pPr>
    </w:p>
    <w:p w:rsidR="00CC12D6" w:rsidRDefault="00CC12D6">
      <w:pPr>
        <w:rPr>
          <w:rFonts w:ascii="Arial" w:eastAsia="Arial Unicode MS" w:hAnsi="Arial" w:cs="Arial"/>
          <w:lang w:val="cs-CZ"/>
        </w:rPr>
      </w:pPr>
      <w:r>
        <w:rPr>
          <w:rFonts w:ascii="Arial" w:eastAsia="Arial Unicode MS" w:hAnsi="Arial" w:cs="Arial"/>
          <w:lang w:val="cs-CZ"/>
        </w:rPr>
        <w:br w:type="page"/>
      </w:r>
    </w:p>
    <w:p w:rsidR="002B6850" w:rsidRPr="002B6850" w:rsidRDefault="002B6850" w:rsidP="00E1767D">
      <w:pPr>
        <w:pStyle w:val="Nadpis1"/>
        <w:rPr>
          <w:rFonts w:eastAsia="Arial Unicode MS"/>
          <w:lang w:val="cs-CZ"/>
        </w:rPr>
      </w:pPr>
      <w:bookmarkStart w:id="12" w:name="_Toc296788028"/>
      <w:r w:rsidRPr="002B6850">
        <w:rPr>
          <w:rFonts w:eastAsia="Arial Unicode MS"/>
          <w:lang w:val="cs-CZ"/>
        </w:rPr>
        <w:lastRenderedPageBreak/>
        <w:t>Kurz GBP 2010</w:t>
      </w:r>
      <w:r w:rsidR="00407825">
        <w:rPr>
          <w:rStyle w:val="Znakapoznpodarou"/>
          <w:rFonts w:eastAsia="Arial Unicode MS"/>
          <w:lang w:val="cs-CZ"/>
        </w:rPr>
        <w:footnoteReference w:id="1"/>
      </w:r>
      <w:bookmarkEnd w:id="12"/>
    </w:p>
    <w:p w:rsidR="002B6850" w:rsidRPr="002B6850" w:rsidRDefault="002B6850" w:rsidP="002B6850">
      <w:pPr>
        <w:rPr>
          <w:lang w:val="cs-CZ"/>
        </w:rPr>
      </w:pPr>
    </w:p>
    <w:tbl>
      <w:tblPr>
        <w:tblStyle w:val="Svtlstnovnzvraznn3"/>
        <w:tblW w:w="0" w:type="auto"/>
        <w:jc w:val="center"/>
        <w:tblLook w:val="04A0"/>
      </w:tblPr>
      <w:tblGrid>
        <w:gridCol w:w="4788"/>
        <w:gridCol w:w="4788"/>
      </w:tblGrid>
      <w:tr w:rsidR="002B6850" w:rsidRPr="002B6850" w:rsidTr="002B6850">
        <w:trPr>
          <w:cnfStyle w:val="100000000000"/>
          <w:jc w:val="center"/>
        </w:trPr>
        <w:tc>
          <w:tcPr>
            <w:cnfStyle w:val="001000000000"/>
            <w:tcW w:w="4788" w:type="dxa"/>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Datum</w:t>
            </w:r>
          </w:p>
        </w:tc>
        <w:tc>
          <w:tcPr>
            <w:tcW w:w="4788" w:type="dxa"/>
          </w:tcPr>
          <w:p w:rsidR="002B6850" w:rsidRPr="002B6850" w:rsidRDefault="002B6850" w:rsidP="002B6850">
            <w:pPr>
              <w:jc w:val="center"/>
              <w:cnfStyle w:val="100000000000"/>
              <w:rPr>
                <w:rFonts w:ascii="Calibri" w:hAnsi="Calibri" w:cs="Calibri"/>
                <w:color w:val="000000"/>
                <w:lang w:val="cs-CZ"/>
              </w:rPr>
            </w:pPr>
            <w:r w:rsidRPr="002B6850">
              <w:rPr>
                <w:rFonts w:ascii="Calibri" w:hAnsi="Calibri" w:cs="Calibri"/>
                <w:color w:val="000000"/>
                <w:lang w:val="cs-CZ"/>
              </w:rPr>
              <w:t>1 GBP</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4.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29.508</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5.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29.131</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6.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29.322</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7.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29.317</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8.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29.453</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11.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29.145</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12.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29.267</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13.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29.250</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14.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29.243</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15.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29.435</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18.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29.434</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19.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29.630</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20.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29.785</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21.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29.867</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22.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29.879</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25.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29.645</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26.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29.892</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27.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30.105</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28.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30.446</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29.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30.270</w:t>
            </w:r>
          </w:p>
        </w:tc>
      </w:tr>
    </w:tbl>
    <w:p w:rsidR="00D67797" w:rsidRDefault="00D67797" w:rsidP="002B6850">
      <w:pPr>
        <w:rPr>
          <w:lang w:val="cs-CZ"/>
        </w:rPr>
      </w:pPr>
    </w:p>
    <w:p w:rsidR="00D67797" w:rsidRDefault="00D67797">
      <w:pPr>
        <w:rPr>
          <w:lang w:val="cs-CZ"/>
        </w:rPr>
      </w:pPr>
      <w:r>
        <w:rPr>
          <w:lang w:val="cs-CZ"/>
        </w:rPr>
        <w:br w:type="page"/>
      </w:r>
    </w:p>
    <w:p w:rsidR="00C70D2C" w:rsidRDefault="008263B4" w:rsidP="00582146">
      <w:pPr>
        <w:pStyle w:val="Nadpis1"/>
        <w:rPr>
          <w:lang w:val="cs-CZ"/>
        </w:rPr>
      </w:pPr>
      <w:bookmarkStart w:id="13" w:name="_Toc296788029"/>
      <w:r>
        <w:rPr>
          <w:lang w:val="cs-CZ"/>
        </w:rPr>
        <w:lastRenderedPageBreak/>
        <w:t>Kurzy AUD a DKK</w:t>
      </w:r>
      <w:bookmarkEnd w:id="13"/>
    </w:p>
    <w:p w:rsidR="00C12E6F" w:rsidRPr="00C12E6F" w:rsidRDefault="00C12E6F" w:rsidP="00C12E6F">
      <w:pPr>
        <w:rPr>
          <w:lang w:val="cs-CZ"/>
        </w:rPr>
      </w:pPr>
    </w:p>
    <w:p w:rsidR="00C70D2C" w:rsidRDefault="00C12E6F" w:rsidP="002B6850">
      <w:pPr>
        <w:rPr>
          <w:lang w:val="cs-CZ"/>
        </w:rPr>
      </w:pPr>
      <w:r w:rsidRPr="00C12E6F">
        <w:rPr>
          <w:lang w:val="cs-CZ"/>
        </w:rPr>
        <w:drawing>
          <wp:inline distT="0" distB="0" distL="0" distR="0">
            <wp:extent cx="5781675" cy="3571875"/>
            <wp:effectExtent l="19050" t="0" r="9525" b="0"/>
            <wp:docPr id="4"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70D2C" w:rsidRDefault="00C70D2C" w:rsidP="002B6850">
      <w:pPr>
        <w:rPr>
          <w:lang w:val="cs-CZ"/>
        </w:rPr>
      </w:pPr>
    </w:p>
    <w:p w:rsidR="00C12E6F" w:rsidRDefault="00C12E6F">
      <w:pPr>
        <w:rPr>
          <w:lang w:val="cs-CZ"/>
        </w:rPr>
      </w:pPr>
      <w:r>
        <w:rPr>
          <w:lang w:val="cs-CZ"/>
        </w:rPr>
        <w:br w:type="page"/>
      </w:r>
    </w:p>
    <w:p w:rsidR="00C70D2C" w:rsidRDefault="00C12E6F" w:rsidP="00C12E6F">
      <w:pPr>
        <w:pStyle w:val="Nadpis1"/>
        <w:rPr>
          <w:lang w:val="cs-CZ"/>
        </w:rPr>
      </w:pPr>
      <w:bookmarkStart w:id="14" w:name="_Toc296788030"/>
      <w:r>
        <w:rPr>
          <w:lang w:val="cs-CZ"/>
        </w:rPr>
        <w:lastRenderedPageBreak/>
        <w:t>Trend AUD</w:t>
      </w:r>
      <w:bookmarkEnd w:id="14"/>
    </w:p>
    <w:p w:rsidR="00C12E6F" w:rsidRDefault="00C12E6F" w:rsidP="00C12E6F">
      <w:pPr>
        <w:rPr>
          <w:lang w:val="cs-CZ"/>
        </w:rPr>
      </w:pPr>
    </w:p>
    <w:p w:rsidR="00C12E6F" w:rsidRPr="00C12E6F" w:rsidRDefault="00C12E6F" w:rsidP="00C12E6F">
      <w:pPr>
        <w:rPr>
          <w:lang w:val="cs-CZ"/>
        </w:rPr>
      </w:pPr>
      <w:r w:rsidRPr="00C12E6F">
        <w:rPr>
          <w:lang w:val="cs-CZ"/>
        </w:rPr>
        <w:drawing>
          <wp:inline distT="0" distB="0" distL="0" distR="0">
            <wp:extent cx="5943600" cy="3924300"/>
            <wp:effectExtent l="19050" t="0" r="19050" b="0"/>
            <wp:docPr id="6"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70D2C" w:rsidRDefault="00C70D2C" w:rsidP="002B6850">
      <w:pPr>
        <w:rPr>
          <w:lang w:val="cs-CZ"/>
        </w:rPr>
      </w:pPr>
    </w:p>
    <w:p w:rsidR="007901EA" w:rsidRDefault="007901EA">
      <w:pPr>
        <w:rPr>
          <w:lang w:val="cs-CZ"/>
        </w:rPr>
      </w:pPr>
      <w:r>
        <w:rPr>
          <w:lang w:val="cs-CZ"/>
        </w:rPr>
        <w:br w:type="page"/>
      </w:r>
    </w:p>
    <w:p w:rsidR="00C70D2C" w:rsidRDefault="00086D9A" w:rsidP="00086D9A">
      <w:pPr>
        <w:pStyle w:val="Nadpis1"/>
        <w:rPr>
          <w:lang w:val="cs-CZ"/>
        </w:rPr>
      </w:pPr>
      <w:bookmarkStart w:id="15" w:name="_Toc296788031"/>
      <w:r>
        <w:rPr>
          <w:lang w:val="cs-CZ"/>
        </w:rPr>
        <w:lastRenderedPageBreak/>
        <w:t>Obyvatelstvo – migrační přírůstek</w:t>
      </w:r>
      <w:bookmarkEnd w:id="15"/>
    </w:p>
    <w:p w:rsidR="00086D9A" w:rsidRDefault="00086D9A" w:rsidP="00086D9A">
      <w:pPr>
        <w:rPr>
          <w:lang w:val="cs-CZ"/>
        </w:rPr>
      </w:pPr>
    </w:p>
    <w:tbl>
      <w:tblPr>
        <w:tblStyle w:val="Stednstnovn1zvraznn3"/>
        <w:tblW w:w="10141" w:type="dxa"/>
        <w:tblLook w:val="04A0"/>
      </w:tblPr>
      <w:tblGrid>
        <w:gridCol w:w="2427"/>
        <w:gridCol w:w="2427"/>
        <w:gridCol w:w="5287"/>
      </w:tblGrid>
      <w:tr w:rsidR="00086D9A" w:rsidRPr="00086D9A" w:rsidTr="00086D9A">
        <w:trPr>
          <w:cnfStyle w:val="100000000000"/>
          <w:trHeight w:val="337"/>
        </w:trPr>
        <w:tc>
          <w:tcPr>
            <w:cnfStyle w:val="001000000000"/>
            <w:tcW w:w="2427" w:type="dxa"/>
            <w:noWrap/>
            <w:hideMark/>
          </w:tcPr>
          <w:p w:rsidR="00086D9A" w:rsidRPr="00086D9A" w:rsidRDefault="00086D9A" w:rsidP="00086D9A">
            <w:pPr>
              <w:ind w:firstLineChars="100" w:firstLine="241"/>
              <w:jc w:val="both"/>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Kraje</w:t>
            </w:r>
          </w:p>
        </w:tc>
        <w:tc>
          <w:tcPr>
            <w:tcW w:w="2427" w:type="dxa"/>
            <w:noWrap/>
            <w:hideMark/>
          </w:tcPr>
          <w:p w:rsidR="00086D9A" w:rsidRPr="00086D9A" w:rsidRDefault="00086D9A" w:rsidP="00086D9A">
            <w:pPr>
              <w:ind w:firstLineChars="100" w:firstLine="241"/>
              <w:jc w:val="center"/>
              <w:cnfStyle w:val="10000000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Rozlohy</w:t>
            </w:r>
          </w:p>
        </w:tc>
        <w:tc>
          <w:tcPr>
            <w:tcW w:w="5287" w:type="dxa"/>
            <w:noWrap/>
            <w:hideMark/>
          </w:tcPr>
          <w:p w:rsidR="00086D9A" w:rsidRPr="00086D9A" w:rsidRDefault="00086D9A" w:rsidP="00086D9A">
            <w:pPr>
              <w:ind w:firstLineChars="100" w:firstLine="241"/>
              <w:jc w:val="center"/>
              <w:cnfStyle w:val="10000000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Střední stavy</w:t>
            </w:r>
          </w:p>
        </w:tc>
      </w:tr>
      <w:tr w:rsidR="00086D9A" w:rsidRPr="00086D9A" w:rsidTr="00086D9A">
        <w:trPr>
          <w:cnfStyle w:val="000000100000"/>
          <w:trHeight w:val="337"/>
        </w:trPr>
        <w:tc>
          <w:tcPr>
            <w:cnfStyle w:val="001000000000"/>
            <w:tcW w:w="2427" w:type="dxa"/>
            <w:noWrap/>
            <w:hideMark/>
          </w:tcPr>
          <w:p w:rsidR="00086D9A" w:rsidRPr="00086D9A" w:rsidRDefault="00086D9A" w:rsidP="00086D9A">
            <w:pPr>
              <w:jc w:val="both"/>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Čechy</w:t>
            </w:r>
          </w:p>
        </w:tc>
        <w:tc>
          <w:tcPr>
            <w:tcW w:w="2427" w:type="dxa"/>
            <w:noWrap/>
            <w:hideMark/>
          </w:tcPr>
          <w:p w:rsidR="00086D9A" w:rsidRPr="00086D9A" w:rsidRDefault="00086D9A" w:rsidP="00086D9A">
            <w:pPr>
              <w:jc w:val="right"/>
              <w:cnfStyle w:val="00000010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36 811</w:t>
            </w:r>
          </w:p>
        </w:tc>
        <w:tc>
          <w:tcPr>
            <w:tcW w:w="5287" w:type="dxa"/>
            <w:noWrap/>
            <w:hideMark/>
          </w:tcPr>
          <w:p w:rsidR="00086D9A" w:rsidRPr="00086D9A" w:rsidRDefault="00086D9A" w:rsidP="00086D9A">
            <w:pPr>
              <w:jc w:val="right"/>
              <w:cnfStyle w:val="00000010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4 644 949</w:t>
            </w:r>
          </w:p>
        </w:tc>
      </w:tr>
      <w:tr w:rsidR="00086D9A" w:rsidRPr="00086D9A" w:rsidTr="00086D9A">
        <w:trPr>
          <w:cnfStyle w:val="000000010000"/>
          <w:trHeight w:val="337"/>
        </w:trPr>
        <w:tc>
          <w:tcPr>
            <w:cnfStyle w:val="001000000000"/>
            <w:tcW w:w="2427" w:type="dxa"/>
            <w:noWrap/>
            <w:hideMark/>
          </w:tcPr>
          <w:p w:rsidR="00086D9A" w:rsidRPr="00086D9A" w:rsidRDefault="00086D9A" w:rsidP="00086D9A">
            <w:pPr>
              <w:jc w:val="both"/>
              <w:rPr>
                <w:rFonts w:ascii="Arial" w:eastAsia="Times New Roman" w:hAnsi="Arial" w:cs="Arial"/>
                <w:b w:val="0"/>
                <w:sz w:val="24"/>
                <w:szCs w:val="24"/>
                <w:lang w:val="cs-CZ" w:eastAsia="cs-CZ"/>
              </w:rPr>
            </w:pPr>
            <w:r w:rsidRPr="00086D9A">
              <w:rPr>
                <w:rFonts w:ascii="Arial" w:eastAsia="Times New Roman" w:hAnsi="Arial" w:cs="Arial"/>
                <w:b w:val="0"/>
                <w:sz w:val="24"/>
                <w:szCs w:val="24"/>
                <w:lang w:val="cs-CZ" w:eastAsia="cs-CZ"/>
              </w:rPr>
              <w:t xml:space="preserve">  JHČ</w:t>
            </w:r>
          </w:p>
        </w:tc>
        <w:tc>
          <w:tcPr>
            <w:tcW w:w="2427" w:type="dxa"/>
            <w:noWrap/>
            <w:hideMark/>
          </w:tcPr>
          <w:p w:rsidR="00086D9A" w:rsidRPr="00086D9A" w:rsidRDefault="00086D9A" w:rsidP="00086D9A">
            <w:pPr>
              <w:jc w:val="right"/>
              <w:cnfStyle w:val="00000001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10 057</w:t>
            </w:r>
          </w:p>
        </w:tc>
        <w:tc>
          <w:tcPr>
            <w:tcW w:w="5287" w:type="dxa"/>
            <w:noWrap/>
            <w:hideMark/>
          </w:tcPr>
          <w:p w:rsidR="00086D9A" w:rsidRPr="00086D9A" w:rsidRDefault="00086D9A" w:rsidP="00086D9A">
            <w:pPr>
              <w:jc w:val="right"/>
              <w:cnfStyle w:val="00000001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637 015</w:t>
            </w:r>
          </w:p>
        </w:tc>
      </w:tr>
      <w:tr w:rsidR="00086D9A" w:rsidRPr="00086D9A" w:rsidTr="00086D9A">
        <w:trPr>
          <w:cnfStyle w:val="000000100000"/>
          <w:trHeight w:val="337"/>
        </w:trPr>
        <w:tc>
          <w:tcPr>
            <w:cnfStyle w:val="001000000000"/>
            <w:tcW w:w="2427" w:type="dxa"/>
            <w:noWrap/>
            <w:hideMark/>
          </w:tcPr>
          <w:p w:rsidR="00086D9A" w:rsidRPr="00086D9A" w:rsidRDefault="00086D9A" w:rsidP="00086D9A">
            <w:pPr>
              <w:jc w:val="both"/>
              <w:rPr>
                <w:rFonts w:ascii="Arial" w:eastAsia="Times New Roman" w:hAnsi="Arial" w:cs="Arial"/>
                <w:b w:val="0"/>
                <w:sz w:val="24"/>
                <w:szCs w:val="24"/>
                <w:lang w:val="cs-CZ" w:eastAsia="cs-CZ"/>
              </w:rPr>
            </w:pPr>
            <w:r w:rsidRPr="00086D9A">
              <w:rPr>
                <w:rFonts w:ascii="Arial" w:eastAsia="Times New Roman" w:hAnsi="Arial" w:cs="Arial"/>
                <w:b w:val="0"/>
                <w:sz w:val="24"/>
                <w:szCs w:val="24"/>
                <w:lang w:val="cs-CZ" w:eastAsia="cs-CZ"/>
              </w:rPr>
              <w:t xml:space="preserve">  LBK</w:t>
            </w:r>
          </w:p>
        </w:tc>
        <w:tc>
          <w:tcPr>
            <w:tcW w:w="2427" w:type="dxa"/>
            <w:noWrap/>
            <w:hideMark/>
          </w:tcPr>
          <w:p w:rsidR="00086D9A" w:rsidRPr="00086D9A" w:rsidRDefault="00086D9A" w:rsidP="00086D9A">
            <w:pPr>
              <w:jc w:val="right"/>
              <w:cnfStyle w:val="00000010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3 163</w:t>
            </w:r>
          </w:p>
        </w:tc>
        <w:tc>
          <w:tcPr>
            <w:tcW w:w="5287" w:type="dxa"/>
            <w:noWrap/>
            <w:hideMark/>
          </w:tcPr>
          <w:p w:rsidR="00086D9A" w:rsidRPr="00086D9A" w:rsidRDefault="00086D9A" w:rsidP="00086D9A">
            <w:pPr>
              <w:jc w:val="right"/>
              <w:cnfStyle w:val="00000010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438 238</w:t>
            </w:r>
          </w:p>
        </w:tc>
      </w:tr>
      <w:tr w:rsidR="00086D9A" w:rsidRPr="00086D9A" w:rsidTr="00086D9A">
        <w:trPr>
          <w:cnfStyle w:val="000000010000"/>
          <w:trHeight w:val="337"/>
        </w:trPr>
        <w:tc>
          <w:tcPr>
            <w:cnfStyle w:val="001000000000"/>
            <w:tcW w:w="2427" w:type="dxa"/>
            <w:noWrap/>
            <w:hideMark/>
          </w:tcPr>
          <w:p w:rsidR="00086D9A" w:rsidRPr="00086D9A" w:rsidRDefault="00086D9A" w:rsidP="00086D9A">
            <w:pPr>
              <w:jc w:val="both"/>
              <w:rPr>
                <w:rFonts w:ascii="Arial" w:eastAsia="Times New Roman" w:hAnsi="Arial" w:cs="Arial"/>
                <w:b w:val="0"/>
                <w:sz w:val="24"/>
                <w:szCs w:val="24"/>
                <w:lang w:val="cs-CZ" w:eastAsia="cs-CZ"/>
              </w:rPr>
            </w:pPr>
            <w:r w:rsidRPr="00086D9A">
              <w:rPr>
                <w:rFonts w:ascii="Arial" w:eastAsia="Times New Roman" w:hAnsi="Arial" w:cs="Arial"/>
                <w:b w:val="0"/>
                <w:sz w:val="24"/>
                <w:szCs w:val="24"/>
                <w:lang w:val="cs-CZ" w:eastAsia="cs-CZ"/>
              </w:rPr>
              <w:t xml:space="preserve">  PAK</w:t>
            </w:r>
          </w:p>
        </w:tc>
        <w:tc>
          <w:tcPr>
            <w:tcW w:w="2427" w:type="dxa"/>
            <w:noWrap/>
            <w:hideMark/>
          </w:tcPr>
          <w:p w:rsidR="00086D9A" w:rsidRPr="00086D9A" w:rsidRDefault="00086D9A" w:rsidP="00086D9A">
            <w:pPr>
              <w:jc w:val="right"/>
              <w:cnfStyle w:val="00000001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4 519</w:t>
            </w:r>
          </w:p>
        </w:tc>
        <w:tc>
          <w:tcPr>
            <w:tcW w:w="5287" w:type="dxa"/>
            <w:noWrap/>
            <w:hideMark/>
          </w:tcPr>
          <w:p w:rsidR="00086D9A" w:rsidRPr="00086D9A" w:rsidRDefault="00086D9A" w:rsidP="00086D9A">
            <w:pPr>
              <w:jc w:val="right"/>
              <w:cnfStyle w:val="00000001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515 868</w:t>
            </w:r>
          </w:p>
        </w:tc>
      </w:tr>
      <w:tr w:rsidR="00086D9A" w:rsidRPr="00086D9A" w:rsidTr="00086D9A">
        <w:trPr>
          <w:cnfStyle w:val="000000100000"/>
          <w:trHeight w:val="337"/>
        </w:trPr>
        <w:tc>
          <w:tcPr>
            <w:cnfStyle w:val="001000000000"/>
            <w:tcW w:w="2427" w:type="dxa"/>
            <w:noWrap/>
            <w:hideMark/>
          </w:tcPr>
          <w:p w:rsidR="00086D9A" w:rsidRPr="00086D9A" w:rsidRDefault="00086D9A" w:rsidP="00086D9A">
            <w:pPr>
              <w:jc w:val="both"/>
              <w:rPr>
                <w:rFonts w:ascii="Arial" w:eastAsia="Times New Roman" w:hAnsi="Arial" w:cs="Arial"/>
                <w:b w:val="0"/>
                <w:sz w:val="24"/>
                <w:szCs w:val="24"/>
                <w:lang w:val="cs-CZ" w:eastAsia="cs-CZ"/>
              </w:rPr>
            </w:pPr>
            <w:r w:rsidRPr="00086D9A">
              <w:rPr>
                <w:rFonts w:ascii="Arial" w:eastAsia="Times New Roman" w:hAnsi="Arial" w:cs="Arial"/>
                <w:b w:val="0"/>
                <w:sz w:val="24"/>
                <w:szCs w:val="24"/>
                <w:lang w:val="cs-CZ" w:eastAsia="cs-CZ"/>
              </w:rPr>
              <w:t xml:space="preserve">  PHA</w:t>
            </w:r>
          </w:p>
        </w:tc>
        <w:tc>
          <w:tcPr>
            <w:tcW w:w="2427" w:type="dxa"/>
            <w:noWrap/>
            <w:hideMark/>
          </w:tcPr>
          <w:p w:rsidR="00086D9A" w:rsidRPr="00086D9A" w:rsidRDefault="00086D9A" w:rsidP="00086D9A">
            <w:pPr>
              <w:jc w:val="right"/>
              <w:cnfStyle w:val="00000010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496</w:t>
            </w:r>
          </w:p>
        </w:tc>
        <w:tc>
          <w:tcPr>
            <w:tcW w:w="5287" w:type="dxa"/>
            <w:noWrap/>
            <w:hideMark/>
          </w:tcPr>
          <w:p w:rsidR="00086D9A" w:rsidRPr="00086D9A" w:rsidRDefault="00086D9A" w:rsidP="00086D9A">
            <w:pPr>
              <w:jc w:val="right"/>
              <w:cnfStyle w:val="00000010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1 242 956</w:t>
            </w:r>
          </w:p>
        </w:tc>
      </w:tr>
      <w:tr w:rsidR="00086D9A" w:rsidRPr="00086D9A" w:rsidTr="00086D9A">
        <w:trPr>
          <w:cnfStyle w:val="000000010000"/>
          <w:trHeight w:val="337"/>
        </w:trPr>
        <w:tc>
          <w:tcPr>
            <w:cnfStyle w:val="001000000000"/>
            <w:tcW w:w="2427" w:type="dxa"/>
            <w:noWrap/>
            <w:hideMark/>
          </w:tcPr>
          <w:p w:rsidR="00086D9A" w:rsidRPr="00086D9A" w:rsidRDefault="00086D9A" w:rsidP="00086D9A">
            <w:pPr>
              <w:jc w:val="both"/>
              <w:rPr>
                <w:rFonts w:ascii="Arial" w:eastAsia="Times New Roman" w:hAnsi="Arial" w:cs="Arial"/>
                <w:b w:val="0"/>
                <w:sz w:val="24"/>
                <w:szCs w:val="24"/>
                <w:lang w:val="cs-CZ" w:eastAsia="cs-CZ"/>
              </w:rPr>
            </w:pPr>
            <w:r w:rsidRPr="00086D9A">
              <w:rPr>
                <w:rFonts w:ascii="Arial" w:eastAsia="Times New Roman" w:hAnsi="Arial" w:cs="Arial"/>
                <w:b w:val="0"/>
                <w:sz w:val="24"/>
                <w:szCs w:val="24"/>
                <w:lang w:val="cs-CZ" w:eastAsia="cs-CZ"/>
              </w:rPr>
              <w:t xml:space="preserve">  PLK</w:t>
            </w:r>
          </w:p>
        </w:tc>
        <w:tc>
          <w:tcPr>
            <w:tcW w:w="2427" w:type="dxa"/>
            <w:noWrap/>
            <w:hideMark/>
          </w:tcPr>
          <w:p w:rsidR="00086D9A" w:rsidRPr="00086D9A" w:rsidRDefault="00086D9A" w:rsidP="00086D9A">
            <w:pPr>
              <w:jc w:val="right"/>
              <w:cnfStyle w:val="00000001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7 561</w:t>
            </w:r>
          </w:p>
        </w:tc>
        <w:tc>
          <w:tcPr>
            <w:tcW w:w="5287" w:type="dxa"/>
            <w:noWrap/>
            <w:hideMark/>
          </w:tcPr>
          <w:p w:rsidR="00086D9A" w:rsidRPr="00086D9A" w:rsidRDefault="00086D9A" w:rsidP="00086D9A">
            <w:pPr>
              <w:jc w:val="right"/>
              <w:cnfStyle w:val="00000001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571 199</w:t>
            </w:r>
          </w:p>
        </w:tc>
      </w:tr>
      <w:tr w:rsidR="00086D9A" w:rsidRPr="00086D9A" w:rsidTr="00086D9A">
        <w:trPr>
          <w:cnfStyle w:val="000000100000"/>
          <w:trHeight w:val="337"/>
        </w:trPr>
        <w:tc>
          <w:tcPr>
            <w:cnfStyle w:val="001000000000"/>
            <w:tcW w:w="2427" w:type="dxa"/>
            <w:noWrap/>
            <w:hideMark/>
          </w:tcPr>
          <w:p w:rsidR="00086D9A" w:rsidRPr="00086D9A" w:rsidRDefault="00086D9A" w:rsidP="00086D9A">
            <w:pPr>
              <w:jc w:val="both"/>
              <w:rPr>
                <w:rFonts w:ascii="Arial" w:eastAsia="Times New Roman" w:hAnsi="Arial" w:cs="Arial"/>
                <w:b w:val="0"/>
                <w:sz w:val="24"/>
                <w:szCs w:val="24"/>
                <w:lang w:val="cs-CZ" w:eastAsia="cs-CZ"/>
              </w:rPr>
            </w:pPr>
            <w:r w:rsidRPr="00086D9A">
              <w:rPr>
                <w:rFonts w:ascii="Arial" w:eastAsia="Times New Roman" w:hAnsi="Arial" w:cs="Arial"/>
                <w:b w:val="0"/>
                <w:sz w:val="24"/>
                <w:szCs w:val="24"/>
                <w:lang w:val="cs-CZ" w:eastAsia="cs-CZ"/>
              </w:rPr>
              <w:t xml:space="preserve">  STČ</w:t>
            </w:r>
          </w:p>
        </w:tc>
        <w:tc>
          <w:tcPr>
            <w:tcW w:w="2427" w:type="dxa"/>
            <w:noWrap/>
            <w:hideMark/>
          </w:tcPr>
          <w:p w:rsidR="00086D9A" w:rsidRPr="00086D9A" w:rsidRDefault="00086D9A" w:rsidP="00086D9A">
            <w:pPr>
              <w:jc w:val="right"/>
              <w:cnfStyle w:val="00000010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11 015</w:t>
            </w:r>
          </w:p>
        </w:tc>
        <w:tc>
          <w:tcPr>
            <w:tcW w:w="5287" w:type="dxa"/>
            <w:noWrap/>
            <w:hideMark/>
          </w:tcPr>
          <w:p w:rsidR="00086D9A" w:rsidRPr="00086D9A" w:rsidRDefault="00086D9A" w:rsidP="00086D9A">
            <w:pPr>
              <w:jc w:val="right"/>
              <w:cnfStyle w:val="00000010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1 239 673</w:t>
            </w:r>
          </w:p>
        </w:tc>
      </w:tr>
      <w:tr w:rsidR="00086D9A" w:rsidRPr="00086D9A" w:rsidTr="00086D9A">
        <w:trPr>
          <w:cnfStyle w:val="000000010000"/>
          <w:trHeight w:val="337"/>
        </w:trPr>
        <w:tc>
          <w:tcPr>
            <w:cnfStyle w:val="001000000000"/>
            <w:tcW w:w="2427" w:type="dxa"/>
            <w:noWrap/>
            <w:hideMark/>
          </w:tcPr>
          <w:p w:rsidR="00086D9A" w:rsidRPr="00086D9A" w:rsidRDefault="00086D9A" w:rsidP="00086D9A">
            <w:pPr>
              <w:jc w:val="both"/>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Morava</w:t>
            </w:r>
          </w:p>
        </w:tc>
        <w:tc>
          <w:tcPr>
            <w:tcW w:w="2427" w:type="dxa"/>
            <w:noWrap/>
            <w:hideMark/>
          </w:tcPr>
          <w:p w:rsidR="00086D9A" w:rsidRPr="00086D9A" w:rsidRDefault="00086D9A" w:rsidP="00086D9A">
            <w:pPr>
              <w:jc w:val="right"/>
              <w:cnfStyle w:val="00000001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7 195</w:t>
            </w:r>
          </w:p>
        </w:tc>
        <w:tc>
          <w:tcPr>
            <w:tcW w:w="5287" w:type="dxa"/>
            <w:noWrap/>
            <w:hideMark/>
          </w:tcPr>
          <w:p w:rsidR="00086D9A" w:rsidRPr="00086D9A" w:rsidRDefault="00086D9A" w:rsidP="00086D9A">
            <w:pPr>
              <w:jc w:val="right"/>
              <w:cnfStyle w:val="00000001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1 150 009</w:t>
            </w:r>
          </w:p>
        </w:tc>
      </w:tr>
      <w:tr w:rsidR="00086D9A" w:rsidRPr="00086D9A" w:rsidTr="00086D9A">
        <w:trPr>
          <w:cnfStyle w:val="000000100000"/>
          <w:trHeight w:val="337"/>
        </w:trPr>
        <w:tc>
          <w:tcPr>
            <w:cnfStyle w:val="001000000000"/>
            <w:tcW w:w="2427" w:type="dxa"/>
            <w:noWrap/>
            <w:hideMark/>
          </w:tcPr>
          <w:p w:rsidR="00086D9A" w:rsidRPr="00086D9A" w:rsidRDefault="00086D9A" w:rsidP="00086D9A">
            <w:pPr>
              <w:jc w:val="both"/>
              <w:rPr>
                <w:rFonts w:ascii="Arial" w:eastAsia="Times New Roman" w:hAnsi="Arial" w:cs="Arial"/>
                <w:b w:val="0"/>
                <w:sz w:val="24"/>
                <w:szCs w:val="24"/>
                <w:lang w:val="cs-CZ" w:eastAsia="cs-CZ"/>
              </w:rPr>
            </w:pPr>
            <w:r w:rsidRPr="00086D9A">
              <w:rPr>
                <w:rFonts w:ascii="Arial" w:eastAsia="Times New Roman" w:hAnsi="Arial" w:cs="Arial"/>
                <w:b w:val="0"/>
                <w:sz w:val="24"/>
                <w:szCs w:val="24"/>
                <w:lang w:val="cs-CZ" w:eastAsia="cs-CZ"/>
              </w:rPr>
              <w:t xml:space="preserve">  JHM</w:t>
            </w:r>
          </w:p>
        </w:tc>
        <w:tc>
          <w:tcPr>
            <w:tcW w:w="2427" w:type="dxa"/>
            <w:noWrap/>
            <w:hideMark/>
          </w:tcPr>
          <w:p w:rsidR="00086D9A" w:rsidRPr="00086D9A" w:rsidRDefault="00086D9A" w:rsidP="00086D9A">
            <w:pPr>
              <w:jc w:val="right"/>
              <w:cnfStyle w:val="00000010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7 195</w:t>
            </w:r>
          </w:p>
        </w:tc>
        <w:tc>
          <w:tcPr>
            <w:tcW w:w="5287" w:type="dxa"/>
            <w:noWrap/>
            <w:hideMark/>
          </w:tcPr>
          <w:p w:rsidR="00086D9A" w:rsidRPr="00086D9A" w:rsidRDefault="00086D9A" w:rsidP="00086D9A">
            <w:pPr>
              <w:jc w:val="right"/>
              <w:cnfStyle w:val="00000010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1 150 009</w:t>
            </w:r>
          </w:p>
        </w:tc>
      </w:tr>
      <w:tr w:rsidR="00086D9A" w:rsidRPr="00086D9A" w:rsidTr="00086D9A">
        <w:trPr>
          <w:cnfStyle w:val="000000010000"/>
          <w:trHeight w:val="337"/>
        </w:trPr>
        <w:tc>
          <w:tcPr>
            <w:cnfStyle w:val="001000000000"/>
            <w:tcW w:w="2427" w:type="dxa"/>
            <w:noWrap/>
            <w:hideMark/>
          </w:tcPr>
          <w:p w:rsidR="00086D9A" w:rsidRPr="00086D9A" w:rsidRDefault="00086D9A" w:rsidP="00086D9A">
            <w:pPr>
              <w:jc w:val="both"/>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Součet</w:t>
            </w:r>
          </w:p>
        </w:tc>
        <w:tc>
          <w:tcPr>
            <w:tcW w:w="2427" w:type="dxa"/>
            <w:noWrap/>
            <w:hideMark/>
          </w:tcPr>
          <w:p w:rsidR="00086D9A" w:rsidRPr="00086D9A" w:rsidRDefault="00086D9A" w:rsidP="00086D9A">
            <w:pPr>
              <w:jc w:val="right"/>
              <w:cnfStyle w:val="00000001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44 006</w:t>
            </w:r>
          </w:p>
        </w:tc>
        <w:tc>
          <w:tcPr>
            <w:tcW w:w="5287" w:type="dxa"/>
            <w:noWrap/>
            <w:hideMark/>
          </w:tcPr>
          <w:p w:rsidR="00086D9A" w:rsidRPr="00086D9A" w:rsidRDefault="00086D9A" w:rsidP="00086D9A">
            <w:pPr>
              <w:jc w:val="right"/>
              <w:cnfStyle w:val="000000010000"/>
              <w:rPr>
                <w:rFonts w:ascii="Arial" w:eastAsia="Times New Roman" w:hAnsi="Arial" w:cs="Arial"/>
                <w:sz w:val="24"/>
                <w:szCs w:val="24"/>
                <w:lang w:val="cs-CZ" w:eastAsia="cs-CZ"/>
              </w:rPr>
            </w:pPr>
            <w:r w:rsidRPr="00086D9A">
              <w:rPr>
                <w:rFonts w:ascii="Arial" w:eastAsia="Times New Roman" w:hAnsi="Arial" w:cs="Arial"/>
                <w:sz w:val="24"/>
                <w:szCs w:val="24"/>
                <w:lang w:val="cs-CZ" w:eastAsia="cs-CZ"/>
              </w:rPr>
              <w:t>5 794 958,0</w:t>
            </w:r>
          </w:p>
        </w:tc>
      </w:tr>
    </w:tbl>
    <w:p w:rsidR="00086D9A" w:rsidRPr="00086D9A" w:rsidRDefault="00086D9A" w:rsidP="00086D9A">
      <w:pPr>
        <w:rPr>
          <w:lang w:val="cs-CZ"/>
        </w:rPr>
      </w:pPr>
    </w:p>
    <w:tbl>
      <w:tblPr>
        <w:tblStyle w:val="Mkatabulky"/>
        <w:tblW w:w="11057" w:type="dxa"/>
        <w:tblInd w:w="-459" w:type="dxa"/>
        <w:tblLayout w:type="fixed"/>
        <w:tblLook w:val="04A0"/>
      </w:tblPr>
      <w:tblGrid>
        <w:gridCol w:w="1276"/>
        <w:gridCol w:w="1276"/>
        <w:gridCol w:w="1843"/>
        <w:gridCol w:w="1134"/>
        <w:gridCol w:w="1559"/>
        <w:gridCol w:w="1134"/>
        <w:gridCol w:w="1276"/>
        <w:gridCol w:w="1559"/>
      </w:tblGrid>
      <w:tr w:rsidR="00604A57" w:rsidRPr="000370C7" w:rsidTr="00604A57">
        <w:trPr>
          <w:trHeight w:val="131"/>
        </w:trPr>
        <w:tc>
          <w:tcPr>
            <w:tcW w:w="1276" w:type="dxa"/>
            <w:noWrap/>
            <w:vAlign w:val="center"/>
            <w:hideMark/>
          </w:tcPr>
          <w:p w:rsidR="000370C7" w:rsidRPr="000370C7" w:rsidRDefault="00810DF7" w:rsidP="00604A57">
            <w:pPr>
              <w:jc w:val="center"/>
              <w:rPr>
                <w:rFonts w:ascii="Calibri" w:eastAsia="Times New Roman" w:hAnsi="Calibri" w:cs="Calibri"/>
                <w:b/>
                <w:bCs/>
                <w:color w:val="000000"/>
                <w:lang w:val="cs-CZ" w:eastAsia="cs-CZ"/>
              </w:rPr>
            </w:pPr>
            <w:r>
              <w:rPr>
                <w:rFonts w:ascii="Calibri" w:eastAsia="Times New Roman" w:hAnsi="Calibri" w:cs="Calibri"/>
                <w:b/>
                <w:bCs/>
                <w:color w:val="000000"/>
                <w:lang w:val="cs-CZ" w:eastAsia="cs-CZ"/>
              </w:rPr>
              <w:t>Kraj</w:t>
            </w:r>
          </w:p>
        </w:tc>
        <w:tc>
          <w:tcPr>
            <w:tcW w:w="1276" w:type="dxa"/>
            <w:noWrap/>
            <w:vAlign w:val="center"/>
            <w:hideMark/>
          </w:tcPr>
          <w:p w:rsidR="00810DF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Cizinci v</w:t>
            </w:r>
            <w:r w:rsidR="00810DF7">
              <w:rPr>
                <w:rFonts w:ascii="Calibri" w:eastAsia="Times New Roman" w:hAnsi="Calibri" w:cs="Calibri"/>
                <w:b/>
                <w:bCs/>
                <w:color w:val="000000"/>
                <w:lang w:val="cs-CZ" w:eastAsia="cs-CZ"/>
              </w:rPr>
              <w:t> </w:t>
            </w:r>
            <w:r w:rsidRPr="000370C7">
              <w:rPr>
                <w:rFonts w:ascii="Calibri" w:eastAsia="Times New Roman" w:hAnsi="Calibri" w:cs="Calibri"/>
                <w:b/>
                <w:bCs/>
                <w:color w:val="000000"/>
                <w:lang w:val="cs-CZ" w:eastAsia="cs-CZ"/>
              </w:rPr>
              <w:t>ČR</w:t>
            </w:r>
          </w:p>
          <w:p w:rsidR="000370C7" w:rsidRPr="000370C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(bez azylantů)</w:t>
            </w:r>
          </w:p>
        </w:tc>
        <w:tc>
          <w:tcPr>
            <w:tcW w:w="1843" w:type="dxa"/>
            <w:noWrap/>
            <w:vAlign w:val="center"/>
            <w:hideMark/>
          </w:tcPr>
          <w:p w:rsidR="00810DF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Migrační přírůstek/</w:t>
            </w:r>
          </w:p>
          <w:p w:rsidR="002F626C"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 xml:space="preserve">úbytek </w:t>
            </w:r>
            <w:proofErr w:type="gramStart"/>
            <w:r w:rsidRPr="000370C7">
              <w:rPr>
                <w:rFonts w:ascii="Calibri" w:eastAsia="Times New Roman" w:hAnsi="Calibri" w:cs="Calibri"/>
                <w:b/>
                <w:bCs/>
                <w:color w:val="000000"/>
                <w:lang w:val="cs-CZ" w:eastAsia="cs-CZ"/>
              </w:rPr>
              <w:t>na</w:t>
            </w:r>
            <w:proofErr w:type="gramEnd"/>
          </w:p>
          <w:p w:rsidR="000370C7" w:rsidRPr="000370C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1 000 obyvatel</w:t>
            </w:r>
          </w:p>
        </w:tc>
        <w:tc>
          <w:tcPr>
            <w:tcW w:w="1134" w:type="dxa"/>
            <w:noWrap/>
            <w:vAlign w:val="center"/>
            <w:hideMark/>
          </w:tcPr>
          <w:p w:rsidR="000370C7" w:rsidRPr="000370C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Rozloha</w:t>
            </w:r>
          </w:p>
        </w:tc>
        <w:tc>
          <w:tcPr>
            <w:tcW w:w="1559" w:type="dxa"/>
            <w:noWrap/>
            <w:vAlign w:val="center"/>
            <w:hideMark/>
          </w:tcPr>
          <w:p w:rsidR="00810DF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Střední stav</w:t>
            </w:r>
          </w:p>
          <w:p w:rsidR="000370C7" w:rsidRPr="000370C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obyvatelstva</w:t>
            </w:r>
          </w:p>
        </w:tc>
        <w:tc>
          <w:tcPr>
            <w:tcW w:w="1134" w:type="dxa"/>
            <w:noWrap/>
            <w:vAlign w:val="center"/>
            <w:hideMark/>
          </w:tcPr>
          <w:p w:rsidR="00810DF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z toho</w:t>
            </w:r>
          </w:p>
          <w:p w:rsidR="000370C7" w:rsidRPr="000370C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ženy</w:t>
            </w:r>
          </w:p>
        </w:tc>
        <w:tc>
          <w:tcPr>
            <w:tcW w:w="1276" w:type="dxa"/>
            <w:noWrap/>
            <w:vAlign w:val="center"/>
            <w:hideMark/>
          </w:tcPr>
          <w:p w:rsidR="00604A5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Zemřelí</w:t>
            </w:r>
          </w:p>
          <w:p w:rsidR="00604A5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na 1</w:t>
            </w:r>
            <w:r w:rsidR="00604A57">
              <w:rPr>
                <w:rFonts w:ascii="Calibri" w:eastAsia="Times New Roman" w:hAnsi="Calibri" w:cs="Calibri"/>
                <w:b/>
                <w:bCs/>
                <w:color w:val="000000"/>
                <w:lang w:val="cs-CZ" w:eastAsia="cs-CZ"/>
              </w:rPr>
              <w:t> </w:t>
            </w:r>
            <w:r w:rsidRPr="000370C7">
              <w:rPr>
                <w:rFonts w:ascii="Calibri" w:eastAsia="Times New Roman" w:hAnsi="Calibri" w:cs="Calibri"/>
                <w:b/>
                <w:bCs/>
                <w:color w:val="000000"/>
                <w:lang w:val="cs-CZ" w:eastAsia="cs-CZ"/>
              </w:rPr>
              <w:t>000</w:t>
            </w:r>
          </w:p>
          <w:p w:rsidR="000370C7" w:rsidRPr="000370C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obyvatel</w:t>
            </w:r>
          </w:p>
        </w:tc>
        <w:tc>
          <w:tcPr>
            <w:tcW w:w="1559" w:type="dxa"/>
            <w:noWrap/>
            <w:vAlign w:val="center"/>
            <w:hideMark/>
          </w:tcPr>
          <w:p w:rsidR="00604A5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Živě narození</w:t>
            </w:r>
          </w:p>
          <w:p w:rsidR="00604A5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na 1</w:t>
            </w:r>
            <w:r w:rsidR="00604A57">
              <w:rPr>
                <w:rFonts w:ascii="Calibri" w:eastAsia="Times New Roman" w:hAnsi="Calibri" w:cs="Calibri"/>
                <w:b/>
                <w:bCs/>
                <w:color w:val="000000"/>
                <w:lang w:val="cs-CZ" w:eastAsia="cs-CZ"/>
              </w:rPr>
              <w:t> </w:t>
            </w:r>
            <w:r w:rsidRPr="000370C7">
              <w:rPr>
                <w:rFonts w:ascii="Calibri" w:eastAsia="Times New Roman" w:hAnsi="Calibri" w:cs="Calibri"/>
                <w:b/>
                <w:bCs/>
                <w:color w:val="000000"/>
                <w:lang w:val="cs-CZ" w:eastAsia="cs-CZ"/>
              </w:rPr>
              <w:t>000</w:t>
            </w:r>
          </w:p>
          <w:p w:rsidR="000370C7" w:rsidRPr="000370C7" w:rsidRDefault="000370C7" w:rsidP="00604A57">
            <w:pPr>
              <w:jc w:val="center"/>
              <w:rPr>
                <w:rFonts w:ascii="Calibri" w:eastAsia="Times New Roman" w:hAnsi="Calibri" w:cs="Calibri"/>
                <w:b/>
                <w:bCs/>
                <w:color w:val="000000"/>
                <w:lang w:val="cs-CZ" w:eastAsia="cs-CZ"/>
              </w:rPr>
            </w:pPr>
            <w:r w:rsidRPr="000370C7">
              <w:rPr>
                <w:rFonts w:ascii="Calibri" w:eastAsia="Times New Roman" w:hAnsi="Calibri" w:cs="Calibri"/>
                <w:b/>
                <w:bCs/>
                <w:color w:val="000000"/>
                <w:lang w:val="cs-CZ" w:eastAsia="cs-CZ"/>
              </w:rPr>
              <w:t>obyvatel</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PHA</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148123</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11,02</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496</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1242956</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637935</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9,95</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11,66</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STČ</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58490</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11,57</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11015</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1239673</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627012</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10,26</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12,28</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JHČ</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15415</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1,19</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10057</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637015</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322705</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10,15</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11,03</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PLK</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27562</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2,95</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7561</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571199</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288583</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10,26</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11,23</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KVK</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19643</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-3,38</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3314</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307962</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156752</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10,23</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11,12</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ULK</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31995</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-0,50</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5335</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836128</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423602</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10,64</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11,51</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LBK</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17309</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1,85</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3163</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438238</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223674</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9,84</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11,88</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HKK</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15244</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-0,84</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4759</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554511</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282706</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10,66</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11,29</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PAK</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11972</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0,98</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4519</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515868</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261510</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9,70</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10,94</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VYS</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8583</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-1,50</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6796</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515329</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259620</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9,88</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10,57</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JHM</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36907</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2,61</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7195</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1150009</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588847</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10,07</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11,43</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OLK</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9440</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-0,82</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5267</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641945</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328320</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10,44</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11,11</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ZLK</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8133</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-0,57</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3964</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591303</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302764</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10,33</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10,28</w:t>
            </w:r>
          </w:p>
        </w:tc>
      </w:tr>
      <w:tr w:rsidR="00604A57" w:rsidRPr="000370C7" w:rsidTr="00604A57">
        <w:trPr>
          <w:trHeight w:val="131"/>
        </w:trPr>
        <w:tc>
          <w:tcPr>
            <w:tcW w:w="1276" w:type="dxa"/>
            <w:noWrap/>
            <w:hideMark/>
          </w:tcPr>
          <w:p w:rsidR="000370C7" w:rsidRPr="000370C7" w:rsidRDefault="000370C7" w:rsidP="000370C7">
            <w:pPr>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MSK</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23687</w:t>
            </w:r>
          </w:p>
        </w:tc>
        <w:tc>
          <w:tcPr>
            <w:tcW w:w="1843"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-2,30</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5427</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1249356</w:t>
            </w:r>
          </w:p>
        </w:tc>
        <w:tc>
          <w:tcPr>
            <w:tcW w:w="1134"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636953</w:t>
            </w:r>
          </w:p>
        </w:tc>
        <w:tc>
          <w:tcPr>
            <w:tcW w:w="1276"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10,60</w:t>
            </w:r>
          </w:p>
        </w:tc>
        <w:tc>
          <w:tcPr>
            <w:tcW w:w="1559" w:type="dxa"/>
            <w:noWrap/>
            <w:hideMark/>
          </w:tcPr>
          <w:p w:rsidR="000370C7" w:rsidRPr="000370C7" w:rsidRDefault="000370C7" w:rsidP="000370C7">
            <w:pPr>
              <w:jc w:val="right"/>
              <w:rPr>
                <w:rFonts w:ascii="Calibri" w:eastAsia="Times New Roman" w:hAnsi="Calibri" w:cs="Calibri"/>
                <w:color w:val="000000"/>
                <w:lang w:val="cs-CZ" w:eastAsia="cs-CZ"/>
              </w:rPr>
            </w:pPr>
            <w:r w:rsidRPr="000370C7">
              <w:rPr>
                <w:rFonts w:ascii="Calibri" w:eastAsia="Times New Roman" w:hAnsi="Calibri" w:cs="Calibri"/>
                <w:color w:val="000000"/>
                <w:lang w:val="cs-CZ" w:eastAsia="cs-CZ"/>
              </w:rPr>
              <w:t>10,60</w:t>
            </w:r>
          </w:p>
        </w:tc>
      </w:tr>
    </w:tbl>
    <w:p w:rsidR="00C70D2C" w:rsidRDefault="00C70D2C" w:rsidP="002B6850">
      <w:pPr>
        <w:rPr>
          <w:lang w:val="cs-CZ"/>
        </w:rPr>
      </w:pPr>
    </w:p>
    <w:p w:rsidR="00C70D2C" w:rsidRDefault="00C70D2C" w:rsidP="002B6850">
      <w:pPr>
        <w:rPr>
          <w:lang w:val="cs-CZ"/>
        </w:rPr>
      </w:pPr>
    </w:p>
    <w:p w:rsidR="00C70D2C" w:rsidRDefault="00C70D2C" w:rsidP="002B6850">
      <w:pPr>
        <w:rPr>
          <w:lang w:val="cs-CZ"/>
        </w:rPr>
      </w:pPr>
    </w:p>
    <w:p w:rsidR="00C70D2C" w:rsidRDefault="00C70D2C" w:rsidP="002B6850">
      <w:pPr>
        <w:rPr>
          <w:lang w:val="cs-CZ"/>
        </w:rPr>
      </w:pPr>
    </w:p>
    <w:p w:rsidR="00C70D2C" w:rsidRDefault="00C70D2C" w:rsidP="002B6850">
      <w:pPr>
        <w:rPr>
          <w:lang w:val="cs-CZ"/>
        </w:rPr>
      </w:pPr>
    </w:p>
    <w:p w:rsidR="009427C0" w:rsidRDefault="007901EA" w:rsidP="009427C0">
      <w:pPr>
        <w:pStyle w:val="Nadpis1"/>
        <w:rPr>
          <w:lang w:val="cs-CZ"/>
        </w:rPr>
      </w:pPr>
      <w:r>
        <w:rPr>
          <w:lang w:val="cs-CZ"/>
        </w:rPr>
        <w:br w:type="page"/>
      </w:r>
      <w:bookmarkStart w:id="16" w:name="_Toc296788032"/>
      <w:r w:rsidR="009427C0">
        <w:rPr>
          <w:lang w:val="cs-CZ"/>
        </w:rPr>
        <w:lastRenderedPageBreak/>
        <w:t>Předpoklad vývoje</w:t>
      </w:r>
      <w:bookmarkEnd w:id="16"/>
    </w:p>
    <w:p w:rsidR="0027755F" w:rsidRDefault="0027755F" w:rsidP="0027755F">
      <w:pPr>
        <w:rPr>
          <w:lang w:val="cs-CZ"/>
        </w:rPr>
      </w:pPr>
    </w:p>
    <w:p w:rsidR="0027755F" w:rsidRDefault="0027755F" w:rsidP="0027755F">
      <w:pPr>
        <w:rPr>
          <w:lang w:val="cs-CZ"/>
        </w:rPr>
      </w:pPr>
    </w:p>
    <w:p w:rsidR="0027755F" w:rsidRPr="0027755F" w:rsidRDefault="0027755F" w:rsidP="0027755F">
      <w:pPr>
        <w:rPr>
          <w:lang w:val="cs-CZ"/>
        </w:rPr>
      </w:pPr>
      <w:r w:rsidRPr="0027755F">
        <w:rPr>
          <w:lang w:val="cs-CZ"/>
        </w:rPr>
        <w:drawing>
          <wp:inline distT="0" distB="0" distL="0" distR="0">
            <wp:extent cx="5895975" cy="2743200"/>
            <wp:effectExtent l="19050" t="0" r="9525" b="0"/>
            <wp:docPr id="7"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427C0" w:rsidRDefault="009427C0">
      <w:pPr>
        <w:rPr>
          <w:lang w:val="cs-CZ"/>
        </w:rPr>
      </w:pPr>
      <w:r>
        <w:rPr>
          <w:lang w:val="cs-CZ"/>
        </w:rPr>
        <w:br w:type="page"/>
      </w:r>
    </w:p>
    <w:p w:rsidR="0092069C" w:rsidRDefault="0092069C" w:rsidP="0092069C">
      <w:pPr>
        <w:pStyle w:val="Nadpis1"/>
        <w:rPr>
          <w:lang w:val="cs-CZ"/>
        </w:rPr>
      </w:pPr>
      <w:bookmarkStart w:id="17" w:name="_Toc296788033"/>
      <w:r>
        <w:rPr>
          <w:lang w:val="cs-CZ"/>
        </w:rPr>
        <w:lastRenderedPageBreak/>
        <w:t>Kurzovní lístek CZK – EUR k </w:t>
      </w:r>
      <w:proofErr w:type="gramStart"/>
      <w:r>
        <w:rPr>
          <w:lang w:val="cs-CZ"/>
        </w:rPr>
        <w:t>31.12.2010</w:t>
      </w:r>
      <w:bookmarkEnd w:id="17"/>
      <w:proofErr w:type="gramEnd"/>
    </w:p>
    <w:p w:rsidR="0092069C" w:rsidRDefault="0092069C">
      <w:pPr>
        <w:rPr>
          <w:lang w:val="cs-CZ"/>
        </w:rPr>
      </w:pPr>
    </w:p>
    <w:p w:rsidR="0092069C" w:rsidRDefault="0092069C" w:rsidP="00810DF7">
      <w:pPr>
        <w:spacing w:after="0" w:line="240" w:lineRule="auto"/>
        <w:rPr>
          <w:rFonts w:eastAsia="Times New Roman" w:cs="Calibri"/>
          <w:color w:val="000000"/>
        </w:rPr>
        <w:sectPr w:rsidR="0092069C" w:rsidSect="00B44D95">
          <w:type w:val="continuous"/>
          <w:pgSz w:w="12240" w:h="15840"/>
          <w:pgMar w:top="1440" w:right="1440" w:bottom="1440" w:left="1440" w:header="720" w:footer="720" w:gutter="0"/>
          <w:cols w:space="720"/>
          <w:docGrid w:linePitch="360"/>
        </w:sectPr>
      </w:pPr>
    </w:p>
    <w:tbl>
      <w:tblPr>
        <w:tblW w:w="2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400"/>
        <w:gridCol w:w="1053"/>
      </w:tblGrid>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rPr>
                <w:rFonts w:eastAsia="Times New Roman" w:cs="Calibri"/>
                <w:color w:val="000000"/>
              </w:rPr>
            </w:pPr>
            <w:r w:rsidRPr="00D42497">
              <w:rPr>
                <w:rFonts w:eastAsia="Times New Roman" w:cs="Calibri"/>
                <w:color w:val="000000"/>
              </w:rPr>
              <w:lastRenderedPageBreak/>
              <w:t>EUR</w:t>
            </w:r>
          </w:p>
        </w:tc>
        <w:tc>
          <w:tcPr>
            <w:tcW w:w="400" w:type="dxa"/>
            <w:shd w:val="clear" w:color="auto" w:fill="auto"/>
            <w:noWrap/>
            <w:hideMark/>
          </w:tcPr>
          <w:p w:rsidR="0092069C" w:rsidRPr="00D42497" w:rsidRDefault="0092069C" w:rsidP="00810DF7">
            <w:pPr>
              <w:spacing w:after="0" w:line="240" w:lineRule="auto"/>
              <w:rPr>
                <w:rFonts w:eastAsia="Times New Roman" w:cs="Calibri"/>
                <w:color w:val="000000"/>
              </w:rPr>
            </w:pPr>
          </w:p>
        </w:tc>
        <w:tc>
          <w:tcPr>
            <w:tcW w:w="960" w:type="dxa"/>
            <w:shd w:val="clear" w:color="auto" w:fill="auto"/>
            <w:noWrap/>
            <w:hideMark/>
          </w:tcPr>
          <w:p w:rsidR="0092069C" w:rsidRPr="00D42497" w:rsidRDefault="0092069C" w:rsidP="00810DF7">
            <w:pPr>
              <w:spacing w:after="0" w:line="240" w:lineRule="auto"/>
              <w:rPr>
                <w:rFonts w:eastAsia="Times New Roman" w:cs="Calibri"/>
                <w:color w:val="000000"/>
              </w:rPr>
            </w:pPr>
            <w:r w:rsidRPr="00D42497">
              <w:rPr>
                <w:rFonts w:eastAsia="Times New Roman" w:cs="Calibri"/>
                <w:color w:val="000000"/>
              </w:rPr>
              <w:t>CZK</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25.060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50.120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75.180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100.240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125.300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150.360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175.420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200.480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225.540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10</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250.600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11</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275.660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12</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300.720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13</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325.780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14</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350.840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15</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375.900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16</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400.960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17</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426.020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18</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451.080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19</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476.140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20</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501.200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21</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526.260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22</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551.320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23</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576.380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24</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601.440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25</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626.500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26</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651.560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27</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676.620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28</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701.680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29</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726.740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30</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751.800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31</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776.860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32</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801.920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33</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826.980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34</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852.040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35</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877.100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36</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902.160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37</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927.220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lastRenderedPageBreak/>
              <w:t>38</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952.280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39</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977.340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40</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1002.400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41</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1027.460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42</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1052.520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43</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1077.580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44</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1102.640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45</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1127.700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46</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1152.760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47</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1177.820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48</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1202.880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49</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1227.940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50</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1253.000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51</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1278.060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52</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1303.120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53</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1328.180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54</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1353.240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55</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1378.300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56</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1403.360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57</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1428.420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58</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1453.480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59</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1478.540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60</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1503.600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61</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1528.660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62</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1553.720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63</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1578.780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64</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1603.840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65</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1628.900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66</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1653.960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67</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1679.020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68</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1704.080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69</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1729.140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70</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1754.200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71</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1779.260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72</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1804.320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73</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1829.380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74</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1854.440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75</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1879.500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lastRenderedPageBreak/>
              <w:t>76</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1904.560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77</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1929.620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78</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1954.680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79</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1979.740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80</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2004.800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81</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2029.860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82</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2054.920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83</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2079.980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84</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2105.040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85</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2130.100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86</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2155.160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87</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2180.220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88</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2205.280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89</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2230.340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90</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2255.400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91</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2280.460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92</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2305.520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93</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2330.580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94</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2355.640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95</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2380.700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96</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2405.760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97</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2430.820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98</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2455.880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99</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2480.940</w:t>
            </w:r>
          </w:p>
        </w:tc>
      </w:tr>
      <w:tr w:rsidR="0092069C" w:rsidRPr="00D42497" w:rsidTr="00810DF7">
        <w:trPr>
          <w:trHeight w:val="300"/>
        </w:trPr>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100</w:t>
            </w:r>
          </w:p>
        </w:tc>
        <w:tc>
          <w:tcPr>
            <w:tcW w:w="400" w:type="dxa"/>
            <w:shd w:val="clear" w:color="auto" w:fill="auto"/>
            <w:noWrap/>
            <w:hideMark/>
          </w:tcPr>
          <w:p w:rsidR="0092069C" w:rsidRPr="00D42497" w:rsidRDefault="0092069C" w:rsidP="00810DF7">
            <w:pPr>
              <w:spacing w:after="0" w:line="240" w:lineRule="auto"/>
              <w:jc w:val="center"/>
              <w:rPr>
                <w:rFonts w:eastAsia="Times New Roman" w:cs="Calibri"/>
                <w:color w:val="000000"/>
              </w:rPr>
            </w:pPr>
            <w:r w:rsidRPr="00D42497">
              <w:rPr>
                <w:rFonts w:eastAsia="Times New Roman" w:cs="Calibri"/>
                <w:color w:val="000000"/>
              </w:rPr>
              <w:t>=</w:t>
            </w:r>
          </w:p>
        </w:tc>
        <w:tc>
          <w:tcPr>
            <w:tcW w:w="960" w:type="dxa"/>
            <w:shd w:val="clear" w:color="auto" w:fill="auto"/>
            <w:noWrap/>
            <w:hideMark/>
          </w:tcPr>
          <w:p w:rsidR="0092069C" w:rsidRPr="00D42497" w:rsidRDefault="0092069C" w:rsidP="00810DF7">
            <w:pPr>
              <w:spacing w:after="0" w:line="240" w:lineRule="auto"/>
              <w:jc w:val="right"/>
              <w:rPr>
                <w:rFonts w:eastAsia="Times New Roman" w:cs="Calibri"/>
                <w:color w:val="000000"/>
              </w:rPr>
            </w:pPr>
            <w:r w:rsidRPr="00D42497">
              <w:rPr>
                <w:rFonts w:eastAsia="Times New Roman" w:cs="Calibri"/>
                <w:color w:val="000000"/>
              </w:rPr>
              <w:t>2506.000</w:t>
            </w:r>
          </w:p>
        </w:tc>
      </w:tr>
    </w:tbl>
    <w:p w:rsidR="00C70D2C" w:rsidRDefault="00C70D2C" w:rsidP="002B6850">
      <w:pPr>
        <w:rPr>
          <w:lang w:val="cs-CZ"/>
        </w:rPr>
        <w:sectPr w:rsidR="00C70D2C" w:rsidSect="0092069C">
          <w:type w:val="continuous"/>
          <w:pgSz w:w="12240" w:h="15840"/>
          <w:pgMar w:top="1440" w:right="1440" w:bottom="1440" w:left="1440" w:header="720" w:footer="720" w:gutter="0"/>
          <w:cols w:num="3" w:space="720"/>
          <w:docGrid w:linePitch="360"/>
        </w:sectPr>
      </w:pPr>
    </w:p>
    <w:p w:rsidR="00C70D2C" w:rsidRDefault="00C73D3E" w:rsidP="00C70D2C">
      <w:pPr>
        <w:pStyle w:val="Nadpis1"/>
        <w:rPr>
          <w:lang w:val="cs-CZ"/>
        </w:rPr>
      </w:pPr>
      <w:bookmarkStart w:id="18" w:name="_Toc296788034"/>
      <w:r>
        <w:rPr>
          <w:lang w:val="cs-CZ"/>
        </w:rPr>
        <w:lastRenderedPageBreak/>
        <w:t>Průběh kurzu USD – CZK v roce 2010</w:t>
      </w:r>
      <w:bookmarkEnd w:id="18"/>
    </w:p>
    <w:p w:rsidR="00C70D2C" w:rsidRDefault="00C70D2C" w:rsidP="002B6850">
      <w:pPr>
        <w:rPr>
          <w:lang w:val="cs-CZ"/>
        </w:rPr>
      </w:pPr>
    </w:p>
    <w:p w:rsidR="00C70D2C" w:rsidRDefault="00C70D2C" w:rsidP="002B6850">
      <w:pPr>
        <w:rPr>
          <w:lang w:val="cs-CZ"/>
        </w:rPr>
      </w:pPr>
      <w:r>
        <w:rPr>
          <w:noProof/>
          <w:lang w:val="cs-CZ" w:eastAsia="cs-CZ"/>
        </w:rPr>
        <w:drawing>
          <wp:inline distT="0" distB="0" distL="0" distR="0">
            <wp:extent cx="8420100" cy="436245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70D2C" w:rsidRDefault="00C70D2C" w:rsidP="002B6850">
      <w:pPr>
        <w:rPr>
          <w:lang w:val="cs-CZ"/>
        </w:rPr>
      </w:pPr>
    </w:p>
    <w:p w:rsidR="00C70D2C" w:rsidRDefault="00C70D2C" w:rsidP="002B6850">
      <w:pPr>
        <w:rPr>
          <w:lang w:val="cs-CZ"/>
        </w:rPr>
      </w:pPr>
    </w:p>
    <w:p w:rsidR="00C73D3E" w:rsidRDefault="00C73D3E" w:rsidP="002B6850">
      <w:pPr>
        <w:rPr>
          <w:lang w:val="cs-CZ"/>
        </w:rPr>
        <w:sectPr w:rsidR="00C73D3E" w:rsidSect="00BC0916">
          <w:pgSz w:w="15840" w:h="12240" w:orient="landscape"/>
          <w:pgMar w:top="1440" w:right="1440" w:bottom="1440" w:left="1440" w:header="720" w:footer="720" w:gutter="0"/>
          <w:cols w:space="720"/>
          <w:docGrid w:linePitch="360"/>
        </w:sectPr>
      </w:pPr>
    </w:p>
    <w:p w:rsidR="00BF4B15" w:rsidRPr="00BF4B15" w:rsidRDefault="00BF4B15" w:rsidP="00BF4B15">
      <w:pPr>
        <w:pStyle w:val="Nadpis1"/>
        <w:rPr>
          <w:lang w:val="cs-CZ"/>
        </w:rPr>
      </w:pPr>
      <w:bookmarkStart w:id="19" w:name="_Toc296788035"/>
      <w:r>
        <w:rPr>
          <w:lang w:val="cs-CZ"/>
        </w:rPr>
        <w:lastRenderedPageBreak/>
        <w:t>Citace</w:t>
      </w:r>
      <w:bookmarkEnd w:id="19"/>
    </w:p>
    <w:sdt>
      <w:sdtPr>
        <w:id w:val="9998318"/>
        <w:docPartObj>
          <w:docPartGallery w:val="Bibliographies"/>
          <w:docPartUnique/>
        </w:docPartObj>
      </w:sdtPr>
      <w:sdtEndPr>
        <w:rPr>
          <w:lang w:val="cs-CZ"/>
        </w:rPr>
      </w:sdtEndPr>
      <w:sdtContent>
        <w:p w:rsidR="00BF4B15" w:rsidRDefault="00BF4B15" w:rsidP="00BF4B15"/>
        <w:sdt>
          <w:sdtPr>
            <w:rPr>
              <w:lang w:val="cs-CZ"/>
            </w:rPr>
            <w:id w:val="111145805"/>
            <w:bibliography/>
          </w:sdtPr>
          <w:sdtContent>
            <w:p w:rsidR="00BF4B15" w:rsidRDefault="00BF4B15" w:rsidP="00BF4B15">
              <w:pPr>
                <w:pStyle w:val="Bibliografie"/>
                <w:rPr>
                  <w:noProof/>
                </w:rPr>
              </w:pPr>
              <w:r>
                <w:rPr>
                  <w:lang w:val="cs-CZ"/>
                </w:rPr>
                <w:t xml:space="preserve">Měnový kurz. </w:t>
              </w:r>
              <w:r>
                <w:rPr>
                  <w:i/>
                  <w:iCs/>
                  <w:noProof/>
                </w:rPr>
                <w:t>Wikipedie</w:t>
              </w:r>
              <w:r>
                <w:rPr>
                  <w:noProof/>
                </w:rPr>
                <w:t>. [Online] Wikipedie - Otevřená encyklopedie, 25. 6 2010. [Citace: 20.3 2011]  http://cs.wikipedia.org/wiki/M%C4%9Bnov%C3%BD_kurz</w:t>
              </w:r>
            </w:p>
            <w:p w:rsidR="00BF4B15" w:rsidRDefault="00BF4B15" w:rsidP="00BF4B15">
              <w:pPr>
                <w:pStyle w:val="Bibliografie"/>
                <w:rPr>
                  <w:noProof/>
                </w:rPr>
              </w:pPr>
              <w:r>
                <w:rPr>
                  <w:lang w:val="cs-CZ"/>
                </w:rPr>
                <w:t xml:space="preserve">Kurzy </w:t>
              </w:r>
              <w:proofErr w:type="spellStart"/>
              <w:r>
                <w:rPr>
                  <w:lang w:val="cs-CZ"/>
                </w:rPr>
                <w:t>devizovaného</w:t>
              </w:r>
              <w:proofErr w:type="spellEnd"/>
              <w:r>
                <w:rPr>
                  <w:lang w:val="cs-CZ"/>
                </w:rPr>
                <w:t xml:space="preserve"> trhu. </w:t>
              </w:r>
              <w:r>
                <w:rPr>
                  <w:lang w:val="cs-CZ"/>
                </w:rPr>
                <w:fldChar w:fldCharType="begin"/>
              </w:r>
              <w:r>
                <w:rPr>
                  <w:lang w:val="cs-CZ"/>
                </w:rPr>
                <w:instrText xml:space="preserve"> BIBLIOGRAPHY \l 1033 \f 1029 </w:instrText>
              </w:r>
              <w:r>
                <w:rPr>
                  <w:lang w:val="cs-CZ"/>
                </w:rPr>
                <w:fldChar w:fldCharType="separate"/>
              </w:r>
              <w:r>
                <w:rPr>
                  <w:i/>
                  <w:iCs/>
                  <w:noProof/>
                </w:rPr>
                <w:t xml:space="preserve">Česká národní banka. </w:t>
              </w:r>
              <w:r>
                <w:rPr>
                  <w:noProof/>
                </w:rPr>
                <w:t>[Online]  Česká národní banka, 7. 2 2011. [Citace: 7. 2 2011]   http://www.cnb.cz/cs/financni_trhy/devizovy_trh/kurzy_devizoveho_trhu/denni_kurz.jsp</w:t>
              </w:r>
            </w:p>
            <w:p w:rsidR="00BF4B15" w:rsidRDefault="00BF4B15" w:rsidP="00BF4B15">
              <w:pPr>
                <w:rPr>
                  <w:lang w:val="cs-CZ"/>
                </w:rPr>
              </w:pPr>
              <w:r>
                <w:rPr>
                  <w:lang w:val="cs-CZ"/>
                </w:rPr>
                <w:fldChar w:fldCharType="end"/>
              </w:r>
            </w:p>
          </w:sdtContent>
        </w:sdt>
      </w:sdtContent>
    </w:sdt>
    <w:p w:rsidR="00BF4B15" w:rsidRDefault="00BF4B15" w:rsidP="00BF4B15">
      <w:pPr>
        <w:rPr>
          <w:rFonts w:eastAsia="Arial Unicode MS"/>
          <w:lang w:val="cs-CZ"/>
        </w:rPr>
      </w:pPr>
    </w:p>
    <w:p w:rsidR="00BF4B15" w:rsidRDefault="00BF4B15">
      <w:pPr>
        <w:rPr>
          <w:rFonts w:asciiTheme="majorHAnsi" w:eastAsia="Arial Unicode MS" w:hAnsiTheme="majorHAnsi" w:cstheme="majorBidi"/>
          <w:b/>
          <w:bCs/>
          <w:color w:val="365F91" w:themeColor="accent1" w:themeShade="BF"/>
          <w:sz w:val="28"/>
          <w:szCs w:val="28"/>
          <w:lang w:val="cs-CZ"/>
        </w:rPr>
      </w:pPr>
      <w:r>
        <w:rPr>
          <w:rFonts w:eastAsia="Arial Unicode MS"/>
          <w:lang w:val="cs-CZ"/>
        </w:rPr>
        <w:br w:type="page"/>
      </w:r>
    </w:p>
    <w:p w:rsidR="00E1767D" w:rsidRPr="002B6850" w:rsidRDefault="00E1767D" w:rsidP="00E1767D">
      <w:pPr>
        <w:pStyle w:val="Nadpis1"/>
        <w:rPr>
          <w:rFonts w:eastAsia="Arial Unicode MS"/>
          <w:lang w:val="cs-CZ"/>
        </w:rPr>
      </w:pPr>
      <w:bookmarkStart w:id="20" w:name="_Toc296788036"/>
      <w:r w:rsidRPr="002B6850">
        <w:rPr>
          <w:rFonts w:eastAsia="Arial Unicode MS"/>
          <w:lang w:val="cs-CZ"/>
        </w:rPr>
        <w:lastRenderedPageBreak/>
        <w:t>Obsah</w:t>
      </w:r>
      <w:bookmarkEnd w:id="20"/>
    </w:p>
    <w:p w:rsidR="00E1767D" w:rsidRPr="002B6850" w:rsidRDefault="00E1767D" w:rsidP="00E1767D">
      <w:pPr>
        <w:rPr>
          <w:lang w:val="cs-CZ"/>
        </w:rPr>
      </w:pPr>
    </w:p>
    <w:bookmarkStart w:id="21" w:name="_GoBack"/>
    <w:bookmarkEnd w:id="21"/>
    <w:p w:rsidR="006F4641" w:rsidRDefault="00E02A81">
      <w:pPr>
        <w:pStyle w:val="Obsah1"/>
        <w:tabs>
          <w:tab w:val="left" w:pos="440"/>
          <w:tab w:val="right" w:leader="underscore" w:pos="9350"/>
        </w:tabs>
        <w:rPr>
          <w:rFonts w:asciiTheme="minorHAnsi" w:eastAsiaTheme="minorEastAsia" w:hAnsiTheme="minorHAnsi"/>
          <w:b w:val="0"/>
          <w:bCs w:val="0"/>
          <w:caps w:val="0"/>
          <w:noProof/>
          <w:sz w:val="22"/>
          <w:szCs w:val="22"/>
          <w:lang w:val="cs-CZ" w:eastAsia="cs-CZ"/>
        </w:rPr>
      </w:pPr>
      <w:r w:rsidRPr="00E02A81">
        <w:rPr>
          <w:lang w:val="cs-CZ"/>
        </w:rPr>
        <w:fldChar w:fldCharType="begin"/>
      </w:r>
      <w:r w:rsidR="00E1767D" w:rsidRPr="002B6850">
        <w:rPr>
          <w:lang w:val="cs-CZ"/>
        </w:rPr>
        <w:instrText xml:space="preserve"> TOC \o "1-3" \h \z \u </w:instrText>
      </w:r>
      <w:r w:rsidRPr="00E02A81">
        <w:rPr>
          <w:lang w:val="cs-CZ"/>
        </w:rPr>
        <w:fldChar w:fldCharType="separate"/>
      </w:r>
      <w:hyperlink w:anchor="_Toc296788016" w:history="1">
        <w:r w:rsidR="006F4641" w:rsidRPr="003577D7">
          <w:rPr>
            <w:rStyle w:val="Hypertextovodkaz"/>
            <w:rFonts w:eastAsia="Arial Unicode MS"/>
            <w:noProof/>
            <w:lang w:val="cs-CZ"/>
          </w:rPr>
          <w:t>1</w:t>
        </w:r>
        <w:r w:rsidR="006F4641">
          <w:rPr>
            <w:rFonts w:asciiTheme="minorHAnsi" w:eastAsiaTheme="minorEastAsia" w:hAnsiTheme="minorHAnsi"/>
            <w:b w:val="0"/>
            <w:bCs w:val="0"/>
            <w:caps w:val="0"/>
            <w:noProof/>
            <w:sz w:val="22"/>
            <w:szCs w:val="22"/>
            <w:lang w:val="cs-CZ" w:eastAsia="cs-CZ"/>
          </w:rPr>
          <w:tab/>
        </w:r>
        <w:r w:rsidR="006F4641" w:rsidRPr="003577D7">
          <w:rPr>
            <w:rStyle w:val="Hypertextovodkaz"/>
            <w:rFonts w:eastAsia="Arial Unicode MS"/>
            <w:noProof/>
            <w:lang w:val="cs-CZ"/>
          </w:rPr>
          <w:t>Měnový kurz</w:t>
        </w:r>
        <w:r w:rsidR="006F4641">
          <w:rPr>
            <w:noProof/>
            <w:webHidden/>
          </w:rPr>
          <w:tab/>
        </w:r>
        <w:r w:rsidR="006F4641">
          <w:rPr>
            <w:noProof/>
            <w:webHidden/>
          </w:rPr>
          <w:fldChar w:fldCharType="begin"/>
        </w:r>
        <w:r w:rsidR="006F4641">
          <w:rPr>
            <w:noProof/>
            <w:webHidden/>
          </w:rPr>
          <w:instrText xml:space="preserve"> PAGEREF _Toc296788016 \h </w:instrText>
        </w:r>
        <w:r w:rsidR="006F4641">
          <w:rPr>
            <w:noProof/>
            <w:webHidden/>
          </w:rPr>
        </w:r>
        <w:r w:rsidR="006F4641">
          <w:rPr>
            <w:noProof/>
            <w:webHidden/>
          </w:rPr>
          <w:fldChar w:fldCharType="separate"/>
        </w:r>
        <w:r w:rsidR="006F4641">
          <w:rPr>
            <w:noProof/>
            <w:webHidden/>
          </w:rPr>
          <w:t>2</w:t>
        </w:r>
        <w:r w:rsidR="006F4641">
          <w:rPr>
            <w:noProof/>
            <w:webHidden/>
          </w:rPr>
          <w:fldChar w:fldCharType="end"/>
        </w:r>
      </w:hyperlink>
    </w:p>
    <w:p w:rsidR="006F4641" w:rsidRDefault="006F4641">
      <w:pPr>
        <w:pStyle w:val="Obsah2"/>
        <w:tabs>
          <w:tab w:val="left" w:pos="660"/>
          <w:tab w:val="right" w:leader="underscore" w:pos="9350"/>
        </w:tabs>
        <w:rPr>
          <w:rFonts w:eastAsiaTheme="minorEastAsia" w:cstheme="minorBidi"/>
          <w:b w:val="0"/>
          <w:bCs w:val="0"/>
          <w:noProof/>
          <w:sz w:val="22"/>
          <w:szCs w:val="22"/>
          <w:lang w:val="cs-CZ" w:eastAsia="cs-CZ"/>
        </w:rPr>
      </w:pPr>
      <w:hyperlink w:anchor="_Toc296788017" w:history="1">
        <w:r w:rsidRPr="003577D7">
          <w:rPr>
            <w:rStyle w:val="Hypertextovodkaz"/>
            <w:rFonts w:eastAsia="Arial Unicode MS"/>
            <w:noProof/>
            <w:lang w:val="cs-CZ"/>
          </w:rPr>
          <w:t>1.1</w:t>
        </w:r>
        <w:r>
          <w:rPr>
            <w:rFonts w:eastAsiaTheme="minorEastAsia" w:cstheme="minorBidi"/>
            <w:b w:val="0"/>
            <w:bCs w:val="0"/>
            <w:noProof/>
            <w:sz w:val="22"/>
            <w:szCs w:val="22"/>
            <w:lang w:val="cs-CZ" w:eastAsia="cs-CZ"/>
          </w:rPr>
          <w:tab/>
        </w:r>
        <w:r w:rsidRPr="003577D7">
          <w:rPr>
            <w:rStyle w:val="Hypertextovodkaz"/>
            <w:rFonts w:eastAsia="Arial Unicode MS"/>
            <w:noProof/>
            <w:lang w:val="cs-CZ"/>
          </w:rPr>
          <w:t>Kurzová notace</w:t>
        </w:r>
        <w:r>
          <w:rPr>
            <w:noProof/>
            <w:webHidden/>
          </w:rPr>
          <w:tab/>
        </w:r>
        <w:r>
          <w:rPr>
            <w:noProof/>
            <w:webHidden/>
          </w:rPr>
          <w:fldChar w:fldCharType="begin"/>
        </w:r>
        <w:r>
          <w:rPr>
            <w:noProof/>
            <w:webHidden/>
          </w:rPr>
          <w:instrText xml:space="preserve"> PAGEREF _Toc296788017 \h </w:instrText>
        </w:r>
        <w:r>
          <w:rPr>
            <w:noProof/>
            <w:webHidden/>
          </w:rPr>
        </w:r>
        <w:r>
          <w:rPr>
            <w:noProof/>
            <w:webHidden/>
          </w:rPr>
          <w:fldChar w:fldCharType="separate"/>
        </w:r>
        <w:r>
          <w:rPr>
            <w:noProof/>
            <w:webHidden/>
          </w:rPr>
          <w:t>2</w:t>
        </w:r>
        <w:r>
          <w:rPr>
            <w:noProof/>
            <w:webHidden/>
          </w:rPr>
          <w:fldChar w:fldCharType="end"/>
        </w:r>
      </w:hyperlink>
    </w:p>
    <w:p w:rsidR="006F4641" w:rsidRDefault="006F4641">
      <w:pPr>
        <w:pStyle w:val="Obsah2"/>
        <w:tabs>
          <w:tab w:val="left" w:pos="660"/>
          <w:tab w:val="right" w:leader="underscore" w:pos="9350"/>
        </w:tabs>
        <w:rPr>
          <w:rFonts w:eastAsiaTheme="minorEastAsia" w:cstheme="minorBidi"/>
          <w:b w:val="0"/>
          <w:bCs w:val="0"/>
          <w:noProof/>
          <w:sz w:val="22"/>
          <w:szCs w:val="22"/>
          <w:lang w:val="cs-CZ" w:eastAsia="cs-CZ"/>
        </w:rPr>
      </w:pPr>
      <w:hyperlink w:anchor="_Toc296788018" w:history="1">
        <w:r w:rsidRPr="003577D7">
          <w:rPr>
            <w:rStyle w:val="Hypertextovodkaz"/>
            <w:rFonts w:eastAsia="Arial Unicode MS"/>
            <w:noProof/>
            <w:lang w:val="cs-CZ"/>
          </w:rPr>
          <w:t>1.2</w:t>
        </w:r>
        <w:r>
          <w:rPr>
            <w:rFonts w:eastAsiaTheme="minorEastAsia" w:cstheme="minorBidi"/>
            <w:b w:val="0"/>
            <w:bCs w:val="0"/>
            <w:noProof/>
            <w:sz w:val="22"/>
            <w:szCs w:val="22"/>
            <w:lang w:val="cs-CZ" w:eastAsia="cs-CZ"/>
          </w:rPr>
          <w:tab/>
        </w:r>
        <w:r w:rsidRPr="003577D7">
          <w:rPr>
            <w:rStyle w:val="Hypertextovodkaz"/>
            <w:rFonts w:eastAsia="Arial Unicode MS"/>
            <w:noProof/>
            <w:lang w:val="cs-CZ"/>
          </w:rPr>
          <w:t>Režimy měnových kurzů</w:t>
        </w:r>
        <w:r>
          <w:rPr>
            <w:noProof/>
            <w:webHidden/>
          </w:rPr>
          <w:tab/>
        </w:r>
        <w:r>
          <w:rPr>
            <w:noProof/>
            <w:webHidden/>
          </w:rPr>
          <w:fldChar w:fldCharType="begin"/>
        </w:r>
        <w:r>
          <w:rPr>
            <w:noProof/>
            <w:webHidden/>
          </w:rPr>
          <w:instrText xml:space="preserve"> PAGEREF _Toc296788018 \h </w:instrText>
        </w:r>
        <w:r>
          <w:rPr>
            <w:noProof/>
            <w:webHidden/>
          </w:rPr>
        </w:r>
        <w:r>
          <w:rPr>
            <w:noProof/>
            <w:webHidden/>
          </w:rPr>
          <w:fldChar w:fldCharType="separate"/>
        </w:r>
        <w:r>
          <w:rPr>
            <w:noProof/>
            <w:webHidden/>
          </w:rPr>
          <w:t>2</w:t>
        </w:r>
        <w:r>
          <w:rPr>
            <w:noProof/>
            <w:webHidden/>
          </w:rPr>
          <w:fldChar w:fldCharType="end"/>
        </w:r>
      </w:hyperlink>
    </w:p>
    <w:p w:rsidR="006F4641" w:rsidRDefault="006F4641">
      <w:pPr>
        <w:pStyle w:val="Obsah2"/>
        <w:tabs>
          <w:tab w:val="left" w:pos="660"/>
          <w:tab w:val="right" w:leader="underscore" w:pos="9350"/>
        </w:tabs>
        <w:rPr>
          <w:rFonts w:eastAsiaTheme="minorEastAsia" w:cstheme="minorBidi"/>
          <w:b w:val="0"/>
          <w:bCs w:val="0"/>
          <w:noProof/>
          <w:sz w:val="22"/>
          <w:szCs w:val="22"/>
          <w:lang w:val="cs-CZ" w:eastAsia="cs-CZ"/>
        </w:rPr>
      </w:pPr>
      <w:hyperlink w:anchor="_Toc296788019" w:history="1">
        <w:r w:rsidRPr="003577D7">
          <w:rPr>
            <w:rStyle w:val="Hypertextovodkaz"/>
            <w:rFonts w:eastAsia="Arial Unicode MS"/>
            <w:noProof/>
            <w:lang w:val="cs-CZ"/>
          </w:rPr>
          <w:t>1.3</w:t>
        </w:r>
        <w:r>
          <w:rPr>
            <w:rFonts w:eastAsiaTheme="minorEastAsia" w:cstheme="minorBidi"/>
            <w:b w:val="0"/>
            <w:bCs w:val="0"/>
            <w:noProof/>
            <w:sz w:val="22"/>
            <w:szCs w:val="22"/>
            <w:lang w:val="cs-CZ" w:eastAsia="cs-CZ"/>
          </w:rPr>
          <w:tab/>
        </w:r>
        <w:r w:rsidRPr="003577D7">
          <w:rPr>
            <w:rStyle w:val="Hypertextovodkaz"/>
            <w:rFonts w:eastAsia="Arial Unicode MS"/>
            <w:noProof/>
            <w:lang w:val="cs-CZ"/>
          </w:rPr>
          <w:t>Teorie měnových kurzů</w:t>
        </w:r>
        <w:r>
          <w:rPr>
            <w:noProof/>
            <w:webHidden/>
          </w:rPr>
          <w:tab/>
        </w:r>
        <w:r>
          <w:rPr>
            <w:noProof/>
            <w:webHidden/>
          </w:rPr>
          <w:fldChar w:fldCharType="begin"/>
        </w:r>
        <w:r>
          <w:rPr>
            <w:noProof/>
            <w:webHidden/>
          </w:rPr>
          <w:instrText xml:space="preserve"> PAGEREF _Toc296788019 \h </w:instrText>
        </w:r>
        <w:r>
          <w:rPr>
            <w:noProof/>
            <w:webHidden/>
          </w:rPr>
        </w:r>
        <w:r>
          <w:rPr>
            <w:noProof/>
            <w:webHidden/>
          </w:rPr>
          <w:fldChar w:fldCharType="separate"/>
        </w:r>
        <w:r>
          <w:rPr>
            <w:noProof/>
            <w:webHidden/>
          </w:rPr>
          <w:t>3</w:t>
        </w:r>
        <w:r>
          <w:rPr>
            <w:noProof/>
            <w:webHidden/>
          </w:rPr>
          <w:fldChar w:fldCharType="end"/>
        </w:r>
      </w:hyperlink>
    </w:p>
    <w:p w:rsidR="006F4641" w:rsidRDefault="006F4641">
      <w:pPr>
        <w:pStyle w:val="Obsah3"/>
        <w:tabs>
          <w:tab w:val="left" w:pos="880"/>
          <w:tab w:val="right" w:leader="underscore" w:pos="9350"/>
        </w:tabs>
        <w:rPr>
          <w:rFonts w:eastAsiaTheme="minorEastAsia" w:cstheme="minorBidi"/>
          <w:noProof/>
          <w:sz w:val="22"/>
          <w:szCs w:val="22"/>
          <w:lang w:val="cs-CZ" w:eastAsia="cs-CZ"/>
        </w:rPr>
      </w:pPr>
      <w:hyperlink w:anchor="_Toc296788020" w:history="1">
        <w:r w:rsidRPr="003577D7">
          <w:rPr>
            <w:rStyle w:val="Hypertextovodkaz"/>
            <w:rFonts w:eastAsia="Arial Unicode MS"/>
            <w:noProof/>
            <w:lang w:val="cs-CZ"/>
          </w:rPr>
          <w:t>1.3.1</w:t>
        </w:r>
        <w:r>
          <w:rPr>
            <w:rFonts w:eastAsiaTheme="minorEastAsia" w:cstheme="minorBidi"/>
            <w:noProof/>
            <w:sz w:val="22"/>
            <w:szCs w:val="22"/>
            <w:lang w:val="cs-CZ" w:eastAsia="cs-CZ"/>
          </w:rPr>
          <w:tab/>
        </w:r>
        <w:r w:rsidRPr="003577D7">
          <w:rPr>
            <w:rStyle w:val="Hypertextovodkaz"/>
            <w:rFonts w:eastAsia="Arial Unicode MS"/>
            <w:noProof/>
            <w:lang w:val="cs-CZ"/>
          </w:rPr>
          <w:t>Teorie parity kupní síly</w:t>
        </w:r>
        <w:r>
          <w:rPr>
            <w:noProof/>
            <w:webHidden/>
          </w:rPr>
          <w:tab/>
        </w:r>
        <w:r>
          <w:rPr>
            <w:noProof/>
            <w:webHidden/>
          </w:rPr>
          <w:fldChar w:fldCharType="begin"/>
        </w:r>
        <w:r>
          <w:rPr>
            <w:noProof/>
            <w:webHidden/>
          </w:rPr>
          <w:instrText xml:space="preserve"> PAGEREF _Toc296788020 \h </w:instrText>
        </w:r>
        <w:r>
          <w:rPr>
            <w:noProof/>
            <w:webHidden/>
          </w:rPr>
        </w:r>
        <w:r>
          <w:rPr>
            <w:noProof/>
            <w:webHidden/>
          </w:rPr>
          <w:fldChar w:fldCharType="separate"/>
        </w:r>
        <w:r>
          <w:rPr>
            <w:noProof/>
            <w:webHidden/>
          </w:rPr>
          <w:t>3</w:t>
        </w:r>
        <w:r>
          <w:rPr>
            <w:noProof/>
            <w:webHidden/>
          </w:rPr>
          <w:fldChar w:fldCharType="end"/>
        </w:r>
      </w:hyperlink>
    </w:p>
    <w:p w:rsidR="006F4641" w:rsidRDefault="006F4641">
      <w:pPr>
        <w:pStyle w:val="Obsah3"/>
        <w:tabs>
          <w:tab w:val="left" w:pos="880"/>
          <w:tab w:val="right" w:leader="underscore" w:pos="9350"/>
        </w:tabs>
        <w:rPr>
          <w:rFonts w:eastAsiaTheme="minorEastAsia" w:cstheme="minorBidi"/>
          <w:noProof/>
          <w:sz w:val="22"/>
          <w:szCs w:val="22"/>
          <w:lang w:val="cs-CZ" w:eastAsia="cs-CZ"/>
        </w:rPr>
      </w:pPr>
      <w:hyperlink w:anchor="_Toc296788021" w:history="1">
        <w:r w:rsidRPr="003577D7">
          <w:rPr>
            <w:rStyle w:val="Hypertextovodkaz"/>
            <w:rFonts w:eastAsia="Arial Unicode MS"/>
            <w:noProof/>
            <w:lang w:val="cs-CZ"/>
          </w:rPr>
          <w:t>1.3.2</w:t>
        </w:r>
        <w:r>
          <w:rPr>
            <w:rFonts w:eastAsiaTheme="minorEastAsia" w:cstheme="minorBidi"/>
            <w:noProof/>
            <w:sz w:val="22"/>
            <w:szCs w:val="22"/>
            <w:lang w:val="cs-CZ" w:eastAsia="cs-CZ"/>
          </w:rPr>
          <w:tab/>
        </w:r>
        <w:r w:rsidRPr="003577D7">
          <w:rPr>
            <w:rStyle w:val="Hypertextovodkaz"/>
            <w:rFonts w:eastAsia="Arial Unicode MS"/>
            <w:noProof/>
            <w:lang w:val="cs-CZ"/>
          </w:rPr>
          <w:t>Absolutní</w:t>
        </w:r>
        <w:r>
          <w:rPr>
            <w:noProof/>
            <w:webHidden/>
          </w:rPr>
          <w:tab/>
        </w:r>
        <w:r>
          <w:rPr>
            <w:noProof/>
            <w:webHidden/>
          </w:rPr>
          <w:fldChar w:fldCharType="begin"/>
        </w:r>
        <w:r>
          <w:rPr>
            <w:noProof/>
            <w:webHidden/>
          </w:rPr>
          <w:instrText xml:space="preserve"> PAGEREF _Toc296788021 \h </w:instrText>
        </w:r>
        <w:r>
          <w:rPr>
            <w:noProof/>
            <w:webHidden/>
          </w:rPr>
        </w:r>
        <w:r>
          <w:rPr>
            <w:noProof/>
            <w:webHidden/>
          </w:rPr>
          <w:fldChar w:fldCharType="separate"/>
        </w:r>
        <w:r>
          <w:rPr>
            <w:noProof/>
            <w:webHidden/>
          </w:rPr>
          <w:t>3</w:t>
        </w:r>
        <w:r>
          <w:rPr>
            <w:noProof/>
            <w:webHidden/>
          </w:rPr>
          <w:fldChar w:fldCharType="end"/>
        </w:r>
      </w:hyperlink>
    </w:p>
    <w:p w:rsidR="006F4641" w:rsidRDefault="006F4641">
      <w:pPr>
        <w:pStyle w:val="Obsah3"/>
        <w:tabs>
          <w:tab w:val="left" w:pos="880"/>
          <w:tab w:val="right" w:leader="underscore" w:pos="9350"/>
        </w:tabs>
        <w:rPr>
          <w:rFonts w:eastAsiaTheme="minorEastAsia" w:cstheme="minorBidi"/>
          <w:noProof/>
          <w:sz w:val="22"/>
          <w:szCs w:val="22"/>
          <w:lang w:val="cs-CZ" w:eastAsia="cs-CZ"/>
        </w:rPr>
      </w:pPr>
      <w:hyperlink w:anchor="_Toc296788022" w:history="1">
        <w:r w:rsidRPr="003577D7">
          <w:rPr>
            <w:rStyle w:val="Hypertextovodkaz"/>
            <w:rFonts w:eastAsia="Arial Unicode MS"/>
            <w:noProof/>
            <w:lang w:val="cs-CZ"/>
          </w:rPr>
          <w:t>1.3.3</w:t>
        </w:r>
        <w:r>
          <w:rPr>
            <w:rFonts w:eastAsiaTheme="minorEastAsia" w:cstheme="minorBidi"/>
            <w:noProof/>
            <w:sz w:val="22"/>
            <w:szCs w:val="22"/>
            <w:lang w:val="cs-CZ" w:eastAsia="cs-CZ"/>
          </w:rPr>
          <w:tab/>
        </w:r>
        <w:r w:rsidRPr="003577D7">
          <w:rPr>
            <w:rStyle w:val="Hypertextovodkaz"/>
            <w:rFonts w:eastAsia="Arial Unicode MS"/>
            <w:noProof/>
            <w:lang w:val="cs-CZ"/>
          </w:rPr>
          <w:t>Relativní</w:t>
        </w:r>
        <w:r>
          <w:rPr>
            <w:noProof/>
            <w:webHidden/>
          </w:rPr>
          <w:tab/>
        </w:r>
        <w:r>
          <w:rPr>
            <w:noProof/>
            <w:webHidden/>
          </w:rPr>
          <w:fldChar w:fldCharType="begin"/>
        </w:r>
        <w:r>
          <w:rPr>
            <w:noProof/>
            <w:webHidden/>
          </w:rPr>
          <w:instrText xml:space="preserve"> PAGEREF _Toc296788022 \h </w:instrText>
        </w:r>
        <w:r>
          <w:rPr>
            <w:noProof/>
            <w:webHidden/>
          </w:rPr>
        </w:r>
        <w:r>
          <w:rPr>
            <w:noProof/>
            <w:webHidden/>
          </w:rPr>
          <w:fldChar w:fldCharType="separate"/>
        </w:r>
        <w:r>
          <w:rPr>
            <w:noProof/>
            <w:webHidden/>
          </w:rPr>
          <w:t>3</w:t>
        </w:r>
        <w:r>
          <w:rPr>
            <w:noProof/>
            <w:webHidden/>
          </w:rPr>
          <w:fldChar w:fldCharType="end"/>
        </w:r>
      </w:hyperlink>
    </w:p>
    <w:p w:rsidR="006F4641" w:rsidRDefault="006F4641">
      <w:pPr>
        <w:pStyle w:val="Obsah2"/>
        <w:tabs>
          <w:tab w:val="left" w:pos="660"/>
          <w:tab w:val="right" w:leader="underscore" w:pos="9350"/>
        </w:tabs>
        <w:rPr>
          <w:rFonts w:eastAsiaTheme="minorEastAsia" w:cstheme="minorBidi"/>
          <w:b w:val="0"/>
          <w:bCs w:val="0"/>
          <w:noProof/>
          <w:sz w:val="22"/>
          <w:szCs w:val="22"/>
          <w:lang w:val="cs-CZ" w:eastAsia="cs-CZ"/>
        </w:rPr>
      </w:pPr>
      <w:hyperlink w:anchor="_Toc296788023" w:history="1">
        <w:r w:rsidRPr="003577D7">
          <w:rPr>
            <w:rStyle w:val="Hypertextovodkaz"/>
            <w:rFonts w:eastAsia="Arial Unicode MS"/>
            <w:noProof/>
            <w:lang w:val="cs-CZ"/>
          </w:rPr>
          <w:t>1.4</w:t>
        </w:r>
        <w:r>
          <w:rPr>
            <w:rFonts w:eastAsiaTheme="minorEastAsia" w:cstheme="minorBidi"/>
            <w:b w:val="0"/>
            <w:bCs w:val="0"/>
            <w:noProof/>
            <w:sz w:val="22"/>
            <w:szCs w:val="22"/>
            <w:lang w:val="cs-CZ" w:eastAsia="cs-CZ"/>
          </w:rPr>
          <w:tab/>
        </w:r>
        <w:r w:rsidRPr="003577D7">
          <w:rPr>
            <w:rStyle w:val="Hypertextovodkaz"/>
            <w:rFonts w:eastAsia="Arial Unicode MS"/>
            <w:noProof/>
            <w:lang w:val="cs-CZ"/>
          </w:rPr>
          <w:t>Stanovení měnového kurzu</w:t>
        </w:r>
        <w:r>
          <w:rPr>
            <w:noProof/>
            <w:webHidden/>
          </w:rPr>
          <w:tab/>
        </w:r>
        <w:r>
          <w:rPr>
            <w:noProof/>
            <w:webHidden/>
          </w:rPr>
          <w:fldChar w:fldCharType="begin"/>
        </w:r>
        <w:r>
          <w:rPr>
            <w:noProof/>
            <w:webHidden/>
          </w:rPr>
          <w:instrText xml:space="preserve"> PAGEREF _Toc296788023 \h </w:instrText>
        </w:r>
        <w:r>
          <w:rPr>
            <w:noProof/>
            <w:webHidden/>
          </w:rPr>
        </w:r>
        <w:r>
          <w:rPr>
            <w:noProof/>
            <w:webHidden/>
          </w:rPr>
          <w:fldChar w:fldCharType="separate"/>
        </w:r>
        <w:r>
          <w:rPr>
            <w:noProof/>
            <w:webHidden/>
          </w:rPr>
          <w:t>3</w:t>
        </w:r>
        <w:r>
          <w:rPr>
            <w:noProof/>
            <w:webHidden/>
          </w:rPr>
          <w:fldChar w:fldCharType="end"/>
        </w:r>
      </w:hyperlink>
    </w:p>
    <w:p w:rsidR="006F4641" w:rsidRDefault="006F4641">
      <w:pPr>
        <w:pStyle w:val="Obsah3"/>
        <w:tabs>
          <w:tab w:val="left" w:pos="880"/>
          <w:tab w:val="right" w:leader="underscore" w:pos="9350"/>
        </w:tabs>
        <w:rPr>
          <w:rFonts w:eastAsiaTheme="minorEastAsia" w:cstheme="minorBidi"/>
          <w:noProof/>
          <w:sz w:val="22"/>
          <w:szCs w:val="22"/>
          <w:lang w:val="cs-CZ" w:eastAsia="cs-CZ"/>
        </w:rPr>
      </w:pPr>
      <w:hyperlink w:anchor="_Toc296788024" w:history="1">
        <w:r w:rsidRPr="003577D7">
          <w:rPr>
            <w:rStyle w:val="Hypertextovodkaz"/>
            <w:rFonts w:eastAsia="Arial Unicode MS"/>
            <w:noProof/>
            <w:lang w:val="cs-CZ"/>
          </w:rPr>
          <w:t>1.4.1</w:t>
        </w:r>
        <w:r>
          <w:rPr>
            <w:rFonts w:eastAsiaTheme="minorEastAsia" w:cstheme="minorBidi"/>
            <w:noProof/>
            <w:sz w:val="22"/>
            <w:szCs w:val="22"/>
            <w:lang w:val="cs-CZ" w:eastAsia="cs-CZ"/>
          </w:rPr>
          <w:tab/>
        </w:r>
        <w:r w:rsidRPr="003577D7">
          <w:rPr>
            <w:rStyle w:val="Hypertextovodkaz"/>
            <w:rFonts w:eastAsia="Arial Unicode MS"/>
            <w:noProof/>
            <w:lang w:val="cs-CZ"/>
          </w:rPr>
          <w:t>Změny měnového kurzu</w:t>
        </w:r>
        <w:r>
          <w:rPr>
            <w:noProof/>
            <w:webHidden/>
          </w:rPr>
          <w:tab/>
        </w:r>
        <w:r>
          <w:rPr>
            <w:noProof/>
            <w:webHidden/>
          </w:rPr>
          <w:fldChar w:fldCharType="begin"/>
        </w:r>
        <w:r>
          <w:rPr>
            <w:noProof/>
            <w:webHidden/>
          </w:rPr>
          <w:instrText xml:space="preserve"> PAGEREF _Toc296788024 \h </w:instrText>
        </w:r>
        <w:r>
          <w:rPr>
            <w:noProof/>
            <w:webHidden/>
          </w:rPr>
        </w:r>
        <w:r>
          <w:rPr>
            <w:noProof/>
            <w:webHidden/>
          </w:rPr>
          <w:fldChar w:fldCharType="separate"/>
        </w:r>
        <w:r>
          <w:rPr>
            <w:noProof/>
            <w:webHidden/>
          </w:rPr>
          <w:t>4</w:t>
        </w:r>
        <w:r>
          <w:rPr>
            <w:noProof/>
            <w:webHidden/>
          </w:rPr>
          <w:fldChar w:fldCharType="end"/>
        </w:r>
      </w:hyperlink>
    </w:p>
    <w:p w:rsidR="006F4641" w:rsidRDefault="006F4641">
      <w:pPr>
        <w:pStyle w:val="Obsah3"/>
        <w:tabs>
          <w:tab w:val="left" w:pos="880"/>
          <w:tab w:val="right" w:leader="underscore" w:pos="9350"/>
        </w:tabs>
        <w:rPr>
          <w:rFonts w:eastAsiaTheme="minorEastAsia" w:cstheme="minorBidi"/>
          <w:noProof/>
          <w:sz w:val="22"/>
          <w:szCs w:val="22"/>
          <w:lang w:val="cs-CZ" w:eastAsia="cs-CZ"/>
        </w:rPr>
      </w:pPr>
      <w:hyperlink w:anchor="_Toc296788025" w:history="1">
        <w:r w:rsidRPr="003577D7">
          <w:rPr>
            <w:rStyle w:val="Hypertextovodkaz"/>
            <w:rFonts w:eastAsia="Arial Unicode MS"/>
            <w:noProof/>
            <w:lang w:val="cs-CZ"/>
          </w:rPr>
          <w:t>1.4.2</w:t>
        </w:r>
        <w:r>
          <w:rPr>
            <w:rFonts w:eastAsiaTheme="minorEastAsia" w:cstheme="minorBidi"/>
            <w:noProof/>
            <w:sz w:val="22"/>
            <w:szCs w:val="22"/>
            <w:lang w:val="cs-CZ" w:eastAsia="cs-CZ"/>
          </w:rPr>
          <w:tab/>
        </w:r>
        <w:r w:rsidRPr="003577D7">
          <w:rPr>
            <w:rStyle w:val="Hypertextovodkaz"/>
            <w:rFonts w:eastAsia="Arial Unicode MS"/>
            <w:noProof/>
            <w:lang w:val="cs-CZ"/>
          </w:rPr>
          <w:t>Vlivy působící na měnový kurz</w:t>
        </w:r>
        <w:r>
          <w:rPr>
            <w:noProof/>
            <w:webHidden/>
          </w:rPr>
          <w:tab/>
        </w:r>
        <w:r>
          <w:rPr>
            <w:noProof/>
            <w:webHidden/>
          </w:rPr>
          <w:fldChar w:fldCharType="begin"/>
        </w:r>
        <w:r>
          <w:rPr>
            <w:noProof/>
            <w:webHidden/>
          </w:rPr>
          <w:instrText xml:space="preserve"> PAGEREF _Toc296788025 \h </w:instrText>
        </w:r>
        <w:r>
          <w:rPr>
            <w:noProof/>
            <w:webHidden/>
          </w:rPr>
        </w:r>
        <w:r>
          <w:rPr>
            <w:noProof/>
            <w:webHidden/>
          </w:rPr>
          <w:fldChar w:fldCharType="separate"/>
        </w:r>
        <w:r>
          <w:rPr>
            <w:noProof/>
            <w:webHidden/>
          </w:rPr>
          <w:t>4</w:t>
        </w:r>
        <w:r>
          <w:rPr>
            <w:noProof/>
            <w:webHidden/>
          </w:rPr>
          <w:fldChar w:fldCharType="end"/>
        </w:r>
      </w:hyperlink>
    </w:p>
    <w:p w:rsidR="006F4641" w:rsidRDefault="006F4641">
      <w:pPr>
        <w:pStyle w:val="Obsah2"/>
        <w:tabs>
          <w:tab w:val="left" w:pos="660"/>
          <w:tab w:val="right" w:leader="underscore" w:pos="9350"/>
        </w:tabs>
        <w:rPr>
          <w:rFonts w:eastAsiaTheme="minorEastAsia" w:cstheme="minorBidi"/>
          <w:b w:val="0"/>
          <w:bCs w:val="0"/>
          <w:noProof/>
          <w:sz w:val="22"/>
          <w:szCs w:val="22"/>
          <w:lang w:val="cs-CZ" w:eastAsia="cs-CZ"/>
        </w:rPr>
      </w:pPr>
      <w:hyperlink w:anchor="_Toc296788026" w:history="1">
        <w:r w:rsidRPr="003577D7">
          <w:rPr>
            <w:rStyle w:val="Hypertextovodkaz"/>
            <w:rFonts w:eastAsia="Arial Unicode MS"/>
            <w:noProof/>
            <w:lang w:val="cs-CZ"/>
          </w:rPr>
          <w:t>1.5</w:t>
        </w:r>
        <w:r>
          <w:rPr>
            <w:rFonts w:eastAsiaTheme="minorEastAsia" w:cstheme="minorBidi"/>
            <w:b w:val="0"/>
            <w:bCs w:val="0"/>
            <w:noProof/>
            <w:sz w:val="22"/>
            <w:szCs w:val="22"/>
            <w:lang w:val="cs-CZ" w:eastAsia="cs-CZ"/>
          </w:rPr>
          <w:tab/>
        </w:r>
        <w:r w:rsidRPr="003577D7">
          <w:rPr>
            <w:rStyle w:val="Hypertextovodkaz"/>
            <w:rFonts w:eastAsia="Arial Unicode MS"/>
            <w:noProof/>
            <w:lang w:val="cs-CZ"/>
          </w:rPr>
          <w:t>Související články</w:t>
        </w:r>
        <w:r>
          <w:rPr>
            <w:noProof/>
            <w:webHidden/>
          </w:rPr>
          <w:tab/>
        </w:r>
        <w:r>
          <w:rPr>
            <w:noProof/>
            <w:webHidden/>
          </w:rPr>
          <w:fldChar w:fldCharType="begin"/>
        </w:r>
        <w:r>
          <w:rPr>
            <w:noProof/>
            <w:webHidden/>
          </w:rPr>
          <w:instrText xml:space="preserve"> PAGEREF _Toc296788026 \h </w:instrText>
        </w:r>
        <w:r>
          <w:rPr>
            <w:noProof/>
            <w:webHidden/>
          </w:rPr>
        </w:r>
        <w:r>
          <w:rPr>
            <w:noProof/>
            <w:webHidden/>
          </w:rPr>
          <w:fldChar w:fldCharType="separate"/>
        </w:r>
        <w:r>
          <w:rPr>
            <w:noProof/>
            <w:webHidden/>
          </w:rPr>
          <w:t>4</w:t>
        </w:r>
        <w:r>
          <w:rPr>
            <w:noProof/>
            <w:webHidden/>
          </w:rPr>
          <w:fldChar w:fldCharType="end"/>
        </w:r>
      </w:hyperlink>
    </w:p>
    <w:p w:rsidR="006F4641" w:rsidRDefault="006F4641">
      <w:pPr>
        <w:pStyle w:val="Obsah1"/>
        <w:tabs>
          <w:tab w:val="left" w:pos="440"/>
          <w:tab w:val="right" w:leader="underscore" w:pos="9350"/>
        </w:tabs>
        <w:rPr>
          <w:rFonts w:asciiTheme="minorHAnsi" w:eastAsiaTheme="minorEastAsia" w:hAnsiTheme="minorHAnsi"/>
          <w:b w:val="0"/>
          <w:bCs w:val="0"/>
          <w:caps w:val="0"/>
          <w:noProof/>
          <w:sz w:val="22"/>
          <w:szCs w:val="22"/>
          <w:lang w:val="cs-CZ" w:eastAsia="cs-CZ"/>
        </w:rPr>
      </w:pPr>
      <w:hyperlink w:anchor="_Toc296788027" w:history="1">
        <w:r w:rsidRPr="003577D7">
          <w:rPr>
            <w:rStyle w:val="Hypertextovodkaz"/>
            <w:rFonts w:eastAsia="Arial Unicode MS"/>
            <w:noProof/>
            <w:lang w:val="cs-CZ"/>
          </w:rPr>
          <w:t>2</w:t>
        </w:r>
        <w:r>
          <w:rPr>
            <w:rFonts w:asciiTheme="minorHAnsi" w:eastAsiaTheme="minorEastAsia" w:hAnsiTheme="minorHAnsi"/>
            <w:b w:val="0"/>
            <w:bCs w:val="0"/>
            <w:caps w:val="0"/>
            <w:noProof/>
            <w:sz w:val="22"/>
            <w:szCs w:val="22"/>
            <w:lang w:val="cs-CZ" w:eastAsia="cs-CZ"/>
          </w:rPr>
          <w:tab/>
        </w:r>
        <w:r w:rsidRPr="003577D7">
          <w:rPr>
            <w:rStyle w:val="Hypertextovodkaz"/>
            <w:rFonts w:eastAsia="Arial Unicode MS"/>
            <w:noProof/>
            <w:lang w:val="cs-CZ"/>
          </w:rPr>
          <w:t>Dnešní kurz</w:t>
        </w:r>
        <w:r>
          <w:rPr>
            <w:noProof/>
            <w:webHidden/>
          </w:rPr>
          <w:tab/>
        </w:r>
        <w:r>
          <w:rPr>
            <w:noProof/>
            <w:webHidden/>
          </w:rPr>
          <w:fldChar w:fldCharType="begin"/>
        </w:r>
        <w:r>
          <w:rPr>
            <w:noProof/>
            <w:webHidden/>
          </w:rPr>
          <w:instrText xml:space="preserve"> PAGEREF _Toc296788027 \h </w:instrText>
        </w:r>
        <w:r>
          <w:rPr>
            <w:noProof/>
            <w:webHidden/>
          </w:rPr>
        </w:r>
        <w:r>
          <w:rPr>
            <w:noProof/>
            <w:webHidden/>
          </w:rPr>
          <w:fldChar w:fldCharType="separate"/>
        </w:r>
        <w:r>
          <w:rPr>
            <w:noProof/>
            <w:webHidden/>
          </w:rPr>
          <w:t>5</w:t>
        </w:r>
        <w:r>
          <w:rPr>
            <w:noProof/>
            <w:webHidden/>
          </w:rPr>
          <w:fldChar w:fldCharType="end"/>
        </w:r>
      </w:hyperlink>
    </w:p>
    <w:p w:rsidR="006F4641" w:rsidRDefault="006F4641">
      <w:pPr>
        <w:pStyle w:val="Obsah1"/>
        <w:tabs>
          <w:tab w:val="left" w:pos="440"/>
          <w:tab w:val="right" w:leader="underscore" w:pos="9350"/>
        </w:tabs>
        <w:rPr>
          <w:rFonts w:asciiTheme="minorHAnsi" w:eastAsiaTheme="minorEastAsia" w:hAnsiTheme="minorHAnsi"/>
          <w:b w:val="0"/>
          <w:bCs w:val="0"/>
          <w:caps w:val="0"/>
          <w:noProof/>
          <w:sz w:val="22"/>
          <w:szCs w:val="22"/>
          <w:lang w:val="cs-CZ" w:eastAsia="cs-CZ"/>
        </w:rPr>
      </w:pPr>
      <w:hyperlink w:anchor="_Toc296788028" w:history="1">
        <w:r w:rsidRPr="003577D7">
          <w:rPr>
            <w:rStyle w:val="Hypertextovodkaz"/>
            <w:rFonts w:eastAsia="Arial Unicode MS"/>
            <w:noProof/>
            <w:lang w:val="cs-CZ"/>
          </w:rPr>
          <w:t>3</w:t>
        </w:r>
        <w:r>
          <w:rPr>
            <w:rFonts w:asciiTheme="minorHAnsi" w:eastAsiaTheme="minorEastAsia" w:hAnsiTheme="minorHAnsi"/>
            <w:b w:val="0"/>
            <w:bCs w:val="0"/>
            <w:caps w:val="0"/>
            <w:noProof/>
            <w:sz w:val="22"/>
            <w:szCs w:val="22"/>
            <w:lang w:val="cs-CZ" w:eastAsia="cs-CZ"/>
          </w:rPr>
          <w:tab/>
        </w:r>
        <w:r w:rsidRPr="003577D7">
          <w:rPr>
            <w:rStyle w:val="Hypertextovodkaz"/>
            <w:rFonts w:eastAsia="Arial Unicode MS"/>
            <w:noProof/>
            <w:lang w:val="cs-CZ"/>
          </w:rPr>
          <w:t>Kurz GBP 2010</w:t>
        </w:r>
        <w:r>
          <w:rPr>
            <w:noProof/>
            <w:webHidden/>
          </w:rPr>
          <w:tab/>
        </w:r>
        <w:r>
          <w:rPr>
            <w:noProof/>
            <w:webHidden/>
          </w:rPr>
          <w:fldChar w:fldCharType="begin"/>
        </w:r>
        <w:r>
          <w:rPr>
            <w:noProof/>
            <w:webHidden/>
          </w:rPr>
          <w:instrText xml:space="preserve"> PAGEREF _Toc296788028 \h </w:instrText>
        </w:r>
        <w:r>
          <w:rPr>
            <w:noProof/>
            <w:webHidden/>
          </w:rPr>
        </w:r>
        <w:r>
          <w:rPr>
            <w:noProof/>
            <w:webHidden/>
          </w:rPr>
          <w:fldChar w:fldCharType="separate"/>
        </w:r>
        <w:r>
          <w:rPr>
            <w:noProof/>
            <w:webHidden/>
          </w:rPr>
          <w:t>7</w:t>
        </w:r>
        <w:r>
          <w:rPr>
            <w:noProof/>
            <w:webHidden/>
          </w:rPr>
          <w:fldChar w:fldCharType="end"/>
        </w:r>
      </w:hyperlink>
    </w:p>
    <w:p w:rsidR="006F4641" w:rsidRDefault="006F4641">
      <w:pPr>
        <w:pStyle w:val="Obsah1"/>
        <w:tabs>
          <w:tab w:val="left" w:pos="440"/>
          <w:tab w:val="right" w:leader="underscore" w:pos="9350"/>
        </w:tabs>
        <w:rPr>
          <w:rFonts w:asciiTheme="minorHAnsi" w:eastAsiaTheme="minorEastAsia" w:hAnsiTheme="minorHAnsi"/>
          <w:b w:val="0"/>
          <w:bCs w:val="0"/>
          <w:caps w:val="0"/>
          <w:noProof/>
          <w:sz w:val="22"/>
          <w:szCs w:val="22"/>
          <w:lang w:val="cs-CZ" w:eastAsia="cs-CZ"/>
        </w:rPr>
      </w:pPr>
      <w:hyperlink w:anchor="_Toc296788029" w:history="1">
        <w:r w:rsidRPr="003577D7">
          <w:rPr>
            <w:rStyle w:val="Hypertextovodkaz"/>
            <w:noProof/>
            <w:lang w:val="cs-CZ"/>
          </w:rPr>
          <w:t>4</w:t>
        </w:r>
        <w:r>
          <w:rPr>
            <w:rFonts w:asciiTheme="minorHAnsi" w:eastAsiaTheme="minorEastAsia" w:hAnsiTheme="minorHAnsi"/>
            <w:b w:val="0"/>
            <w:bCs w:val="0"/>
            <w:caps w:val="0"/>
            <w:noProof/>
            <w:sz w:val="22"/>
            <w:szCs w:val="22"/>
            <w:lang w:val="cs-CZ" w:eastAsia="cs-CZ"/>
          </w:rPr>
          <w:tab/>
        </w:r>
        <w:r w:rsidRPr="003577D7">
          <w:rPr>
            <w:rStyle w:val="Hypertextovodkaz"/>
            <w:noProof/>
            <w:lang w:val="cs-CZ"/>
          </w:rPr>
          <w:t>Kurzy AUD a DKK</w:t>
        </w:r>
        <w:r>
          <w:rPr>
            <w:noProof/>
            <w:webHidden/>
          </w:rPr>
          <w:tab/>
        </w:r>
        <w:r>
          <w:rPr>
            <w:noProof/>
            <w:webHidden/>
          </w:rPr>
          <w:fldChar w:fldCharType="begin"/>
        </w:r>
        <w:r>
          <w:rPr>
            <w:noProof/>
            <w:webHidden/>
          </w:rPr>
          <w:instrText xml:space="preserve"> PAGEREF _Toc296788029 \h </w:instrText>
        </w:r>
        <w:r>
          <w:rPr>
            <w:noProof/>
            <w:webHidden/>
          </w:rPr>
        </w:r>
        <w:r>
          <w:rPr>
            <w:noProof/>
            <w:webHidden/>
          </w:rPr>
          <w:fldChar w:fldCharType="separate"/>
        </w:r>
        <w:r>
          <w:rPr>
            <w:noProof/>
            <w:webHidden/>
          </w:rPr>
          <w:t>8</w:t>
        </w:r>
        <w:r>
          <w:rPr>
            <w:noProof/>
            <w:webHidden/>
          </w:rPr>
          <w:fldChar w:fldCharType="end"/>
        </w:r>
      </w:hyperlink>
    </w:p>
    <w:p w:rsidR="006F4641" w:rsidRDefault="006F4641">
      <w:pPr>
        <w:pStyle w:val="Obsah1"/>
        <w:tabs>
          <w:tab w:val="left" w:pos="440"/>
          <w:tab w:val="right" w:leader="underscore" w:pos="9350"/>
        </w:tabs>
        <w:rPr>
          <w:rFonts w:asciiTheme="minorHAnsi" w:eastAsiaTheme="minorEastAsia" w:hAnsiTheme="minorHAnsi"/>
          <w:b w:val="0"/>
          <w:bCs w:val="0"/>
          <w:caps w:val="0"/>
          <w:noProof/>
          <w:sz w:val="22"/>
          <w:szCs w:val="22"/>
          <w:lang w:val="cs-CZ" w:eastAsia="cs-CZ"/>
        </w:rPr>
      </w:pPr>
      <w:hyperlink w:anchor="_Toc296788030" w:history="1">
        <w:r w:rsidRPr="003577D7">
          <w:rPr>
            <w:rStyle w:val="Hypertextovodkaz"/>
            <w:noProof/>
            <w:lang w:val="cs-CZ"/>
          </w:rPr>
          <w:t>5</w:t>
        </w:r>
        <w:r>
          <w:rPr>
            <w:rFonts w:asciiTheme="minorHAnsi" w:eastAsiaTheme="minorEastAsia" w:hAnsiTheme="minorHAnsi"/>
            <w:b w:val="0"/>
            <w:bCs w:val="0"/>
            <w:caps w:val="0"/>
            <w:noProof/>
            <w:sz w:val="22"/>
            <w:szCs w:val="22"/>
            <w:lang w:val="cs-CZ" w:eastAsia="cs-CZ"/>
          </w:rPr>
          <w:tab/>
        </w:r>
        <w:r w:rsidRPr="003577D7">
          <w:rPr>
            <w:rStyle w:val="Hypertextovodkaz"/>
            <w:noProof/>
            <w:lang w:val="cs-CZ"/>
          </w:rPr>
          <w:t>Trend AUD</w:t>
        </w:r>
        <w:r>
          <w:rPr>
            <w:noProof/>
            <w:webHidden/>
          </w:rPr>
          <w:tab/>
        </w:r>
        <w:r>
          <w:rPr>
            <w:noProof/>
            <w:webHidden/>
          </w:rPr>
          <w:fldChar w:fldCharType="begin"/>
        </w:r>
        <w:r>
          <w:rPr>
            <w:noProof/>
            <w:webHidden/>
          </w:rPr>
          <w:instrText xml:space="preserve"> PAGEREF _Toc296788030 \h </w:instrText>
        </w:r>
        <w:r>
          <w:rPr>
            <w:noProof/>
            <w:webHidden/>
          </w:rPr>
        </w:r>
        <w:r>
          <w:rPr>
            <w:noProof/>
            <w:webHidden/>
          </w:rPr>
          <w:fldChar w:fldCharType="separate"/>
        </w:r>
        <w:r>
          <w:rPr>
            <w:noProof/>
            <w:webHidden/>
          </w:rPr>
          <w:t>9</w:t>
        </w:r>
        <w:r>
          <w:rPr>
            <w:noProof/>
            <w:webHidden/>
          </w:rPr>
          <w:fldChar w:fldCharType="end"/>
        </w:r>
      </w:hyperlink>
    </w:p>
    <w:p w:rsidR="006F4641" w:rsidRDefault="006F4641">
      <w:pPr>
        <w:pStyle w:val="Obsah1"/>
        <w:tabs>
          <w:tab w:val="left" w:pos="440"/>
          <w:tab w:val="right" w:leader="underscore" w:pos="9350"/>
        </w:tabs>
        <w:rPr>
          <w:rFonts w:asciiTheme="minorHAnsi" w:eastAsiaTheme="minorEastAsia" w:hAnsiTheme="minorHAnsi"/>
          <w:b w:val="0"/>
          <w:bCs w:val="0"/>
          <w:caps w:val="0"/>
          <w:noProof/>
          <w:sz w:val="22"/>
          <w:szCs w:val="22"/>
          <w:lang w:val="cs-CZ" w:eastAsia="cs-CZ"/>
        </w:rPr>
      </w:pPr>
      <w:hyperlink w:anchor="_Toc296788031" w:history="1">
        <w:r w:rsidRPr="003577D7">
          <w:rPr>
            <w:rStyle w:val="Hypertextovodkaz"/>
            <w:noProof/>
            <w:lang w:val="cs-CZ"/>
          </w:rPr>
          <w:t>6</w:t>
        </w:r>
        <w:r>
          <w:rPr>
            <w:rFonts w:asciiTheme="minorHAnsi" w:eastAsiaTheme="minorEastAsia" w:hAnsiTheme="minorHAnsi"/>
            <w:b w:val="0"/>
            <w:bCs w:val="0"/>
            <w:caps w:val="0"/>
            <w:noProof/>
            <w:sz w:val="22"/>
            <w:szCs w:val="22"/>
            <w:lang w:val="cs-CZ" w:eastAsia="cs-CZ"/>
          </w:rPr>
          <w:tab/>
        </w:r>
        <w:r w:rsidRPr="003577D7">
          <w:rPr>
            <w:rStyle w:val="Hypertextovodkaz"/>
            <w:noProof/>
            <w:lang w:val="cs-CZ"/>
          </w:rPr>
          <w:t>Obyvatelstvo – migrační přírůstek</w:t>
        </w:r>
        <w:r>
          <w:rPr>
            <w:noProof/>
            <w:webHidden/>
          </w:rPr>
          <w:tab/>
        </w:r>
        <w:r>
          <w:rPr>
            <w:noProof/>
            <w:webHidden/>
          </w:rPr>
          <w:fldChar w:fldCharType="begin"/>
        </w:r>
        <w:r>
          <w:rPr>
            <w:noProof/>
            <w:webHidden/>
          </w:rPr>
          <w:instrText xml:space="preserve"> PAGEREF _Toc296788031 \h </w:instrText>
        </w:r>
        <w:r>
          <w:rPr>
            <w:noProof/>
            <w:webHidden/>
          </w:rPr>
        </w:r>
        <w:r>
          <w:rPr>
            <w:noProof/>
            <w:webHidden/>
          </w:rPr>
          <w:fldChar w:fldCharType="separate"/>
        </w:r>
        <w:r>
          <w:rPr>
            <w:noProof/>
            <w:webHidden/>
          </w:rPr>
          <w:t>10</w:t>
        </w:r>
        <w:r>
          <w:rPr>
            <w:noProof/>
            <w:webHidden/>
          </w:rPr>
          <w:fldChar w:fldCharType="end"/>
        </w:r>
      </w:hyperlink>
    </w:p>
    <w:p w:rsidR="006F4641" w:rsidRDefault="006F4641">
      <w:pPr>
        <w:pStyle w:val="Obsah1"/>
        <w:tabs>
          <w:tab w:val="left" w:pos="440"/>
          <w:tab w:val="right" w:leader="underscore" w:pos="9350"/>
        </w:tabs>
        <w:rPr>
          <w:rFonts w:asciiTheme="minorHAnsi" w:eastAsiaTheme="minorEastAsia" w:hAnsiTheme="minorHAnsi"/>
          <w:b w:val="0"/>
          <w:bCs w:val="0"/>
          <w:caps w:val="0"/>
          <w:noProof/>
          <w:sz w:val="22"/>
          <w:szCs w:val="22"/>
          <w:lang w:val="cs-CZ" w:eastAsia="cs-CZ"/>
        </w:rPr>
      </w:pPr>
      <w:hyperlink w:anchor="_Toc296788032" w:history="1">
        <w:r w:rsidRPr="003577D7">
          <w:rPr>
            <w:rStyle w:val="Hypertextovodkaz"/>
            <w:noProof/>
            <w:lang w:val="cs-CZ"/>
          </w:rPr>
          <w:t>7</w:t>
        </w:r>
        <w:r>
          <w:rPr>
            <w:rFonts w:asciiTheme="minorHAnsi" w:eastAsiaTheme="minorEastAsia" w:hAnsiTheme="minorHAnsi"/>
            <w:b w:val="0"/>
            <w:bCs w:val="0"/>
            <w:caps w:val="0"/>
            <w:noProof/>
            <w:sz w:val="22"/>
            <w:szCs w:val="22"/>
            <w:lang w:val="cs-CZ" w:eastAsia="cs-CZ"/>
          </w:rPr>
          <w:tab/>
        </w:r>
        <w:r w:rsidRPr="003577D7">
          <w:rPr>
            <w:rStyle w:val="Hypertextovodkaz"/>
            <w:noProof/>
            <w:lang w:val="cs-CZ"/>
          </w:rPr>
          <w:t>Předpoklad vývoje</w:t>
        </w:r>
        <w:r>
          <w:rPr>
            <w:noProof/>
            <w:webHidden/>
          </w:rPr>
          <w:tab/>
        </w:r>
        <w:r>
          <w:rPr>
            <w:noProof/>
            <w:webHidden/>
          </w:rPr>
          <w:fldChar w:fldCharType="begin"/>
        </w:r>
        <w:r>
          <w:rPr>
            <w:noProof/>
            <w:webHidden/>
          </w:rPr>
          <w:instrText xml:space="preserve"> PAGEREF _Toc296788032 \h </w:instrText>
        </w:r>
        <w:r>
          <w:rPr>
            <w:noProof/>
            <w:webHidden/>
          </w:rPr>
        </w:r>
        <w:r>
          <w:rPr>
            <w:noProof/>
            <w:webHidden/>
          </w:rPr>
          <w:fldChar w:fldCharType="separate"/>
        </w:r>
        <w:r>
          <w:rPr>
            <w:noProof/>
            <w:webHidden/>
          </w:rPr>
          <w:t>11</w:t>
        </w:r>
        <w:r>
          <w:rPr>
            <w:noProof/>
            <w:webHidden/>
          </w:rPr>
          <w:fldChar w:fldCharType="end"/>
        </w:r>
      </w:hyperlink>
    </w:p>
    <w:p w:rsidR="006F4641" w:rsidRDefault="006F4641">
      <w:pPr>
        <w:pStyle w:val="Obsah1"/>
        <w:tabs>
          <w:tab w:val="left" w:pos="440"/>
          <w:tab w:val="right" w:leader="underscore" w:pos="9350"/>
        </w:tabs>
        <w:rPr>
          <w:rFonts w:asciiTheme="minorHAnsi" w:eastAsiaTheme="minorEastAsia" w:hAnsiTheme="minorHAnsi"/>
          <w:b w:val="0"/>
          <w:bCs w:val="0"/>
          <w:caps w:val="0"/>
          <w:noProof/>
          <w:sz w:val="22"/>
          <w:szCs w:val="22"/>
          <w:lang w:val="cs-CZ" w:eastAsia="cs-CZ"/>
        </w:rPr>
      </w:pPr>
      <w:hyperlink w:anchor="_Toc296788033" w:history="1">
        <w:r w:rsidRPr="003577D7">
          <w:rPr>
            <w:rStyle w:val="Hypertextovodkaz"/>
            <w:noProof/>
            <w:lang w:val="cs-CZ"/>
          </w:rPr>
          <w:t>8</w:t>
        </w:r>
        <w:r>
          <w:rPr>
            <w:rFonts w:asciiTheme="minorHAnsi" w:eastAsiaTheme="minorEastAsia" w:hAnsiTheme="minorHAnsi"/>
            <w:b w:val="0"/>
            <w:bCs w:val="0"/>
            <w:caps w:val="0"/>
            <w:noProof/>
            <w:sz w:val="22"/>
            <w:szCs w:val="22"/>
            <w:lang w:val="cs-CZ" w:eastAsia="cs-CZ"/>
          </w:rPr>
          <w:tab/>
        </w:r>
        <w:r w:rsidRPr="003577D7">
          <w:rPr>
            <w:rStyle w:val="Hypertextovodkaz"/>
            <w:noProof/>
            <w:lang w:val="cs-CZ"/>
          </w:rPr>
          <w:t>Kurzovní lístek CZK – EUR k 31.12.2010</w:t>
        </w:r>
        <w:r>
          <w:rPr>
            <w:noProof/>
            <w:webHidden/>
          </w:rPr>
          <w:tab/>
        </w:r>
        <w:r>
          <w:rPr>
            <w:noProof/>
            <w:webHidden/>
          </w:rPr>
          <w:fldChar w:fldCharType="begin"/>
        </w:r>
        <w:r>
          <w:rPr>
            <w:noProof/>
            <w:webHidden/>
          </w:rPr>
          <w:instrText xml:space="preserve"> PAGEREF _Toc296788033 \h </w:instrText>
        </w:r>
        <w:r>
          <w:rPr>
            <w:noProof/>
            <w:webHidden/>
          </w:rPr>
        </w:r>
        <w:r>
          <w:rPr>
            <w:noProof/>
            <w:webHidden/>
          </w:rPr>
          <w:fldChar w:fldCharType="separate"/>
        </w:r>
        <w:r>
          <w:rPr>
            <w:noProof/>
            <w:webHidden/>
          </w:rPr>
          <w:t>12</w:t>
        </w:r>
        <w:r>
          <w:rPr>
            <w:noProof/>
            <w:webHidden/>
          </w:rPr>
          <w:fldChar w:fldCharType="end"/>
        </w:r>
      </w:hyperlink>
    </w:p>
    <w:p w:rsidR="006F4641" w:rsidRDefault="006F4641">
      <w:pPr>
        <w:pStyle w:val="Obsah1"/>
        <w:tabs>
          <w:tab w:val="left" w:pos="440"/>
          <w:tab w:val="right" w:leader="underscore" w:pos="9350"/>
        </w:tabs>
        <w:rPr>
          <w:rFonts w:asciiTheme="minorHAnsi" w:eastAsiaTheme="minorEastAsia" w:hAnsiTheme="minorHAnsi"/>
          <w:b w:val="0"/>
          <w:bCs w:val="0"/>
          <w:caps w:val="0"/>
          <w:noProof/>
          <w:sz w:val="22"/>
          <w:szCs w:val="22"/>
          <w:lang w:val="cs-CZ" w:eastAsia="cs-CZ"/>
        </w:rPr>
      </w:pPr>
      <w:hyperlink w:anchor="_Toc296788034" w:history="1">
        <w:r w:rsidRPr="003577D7">
          <w:rPr>
            <w:rStyle w:val="Hypertextovodkaz"/>
            <w:noProof/>
            <w:lang w:val="cs-CZ"/>
          </w:rPr>
          <w:t>9</w:t>
        </w:r>
        <w:r>
          <w:rPr>
            <w:rFonts w:asciiTheme="minorHAnsi" w:eastAsiaTheme="minorEastAsia" w:hAnsiTheme="minorHAnsi"/>
            <w:b w:val="0"/>
            <w:bCs w:val="0"/>
            <w:caps w:val="0"/>
            <w:noProof/>
            <w:sz w:val="22"/>
            <w:szCs w:val="22"/>
            <w:lang w:val="cs-CZ" w:eastAsia="cs-CZ"/>
          </w:rPr>
          <w:tab/>
        </w:r>
        <w:r w:rsidRPr="003577D7">
          <w:rPr>
            <w:rStyle w:val="Hypertextovodkaz"/>
            <w:noProof/>
            <w:lang w:val="cs-CZ"/>
          </w:rPr>
          <w:t>Průběh kurzu USD – CZK v roce 2010</w:t>
        </w:r>
        <w:r>
          <w:rPr>
            <w:noProof/>
            <w:webHidden/>
          </w:rPr>
          <w:tab/>
        </w:r>
        <w:r>
          <w:rPr>
            <w:noProof/>
            <w:webHidden/>
          </w:rPr>
          <w:fldChar w:fldCharType="begin"/>
        </w:r>
        <w:r>
          <w:rPr>
            <w:noProof/>
            <w:webHidden/>
          </w:rPr>
          <w:instrText xml:space="preserve"> PAGEREF _Toc296788034 \h </w:instrText>
        </w:r>
        <w:r>
          <w:rPr>
            <w:noProof/>
            <w:webHidden/>
          </w:rPr>
        </w:r>
        <w:r>
          <w:rPr>
            <w:noProof/>
            <w:webHidden/>
          </w:rPr>
          <w:fldChar w:fldCharType="separate"/>
        </w:r>
        <w:r>
          <w:rPr>
            <w:noProof/>
            <w:webHidden/>
          </w:rPr>
          <w:t>13</w:t>
        </w:r>
        <w:r>
          <w:rPr>
            <w:noProof/>
            <w:webHidden/>
          </w:rPr>
          <w:fldChar w:fldCharType="end"/>
        </w:r>
      </w:hyperlink>
    </w:p>
    <w:p w:rsidR="006F4641" w:rsidRDefault="006F4641">
      <w:pPr>
        <w:pStyle w:val="Obsah1"/>
        <w:tabs>
          <w:tab w:val="left" w:pos="660"/>
          <w:tab w:val="right" w:leader="underscore" w:pos="9350"/>
        </w:tabs>
        <w:rPr>
          <w:rFonts w:asciiTheme="minorHAnsi" w:eastAsiaTheme="minorEastAsia" w:hAnsiTheme="minorHAnsi"/>
          <w:b w:val="0"/>
          <w:bCs w:val="0"/>
          <w:caps w:val="0"/>
          <w:noProof/>
          <w:sz w:val="22"/>
          <w:szCs w:val="22"/>
          <w:lang w:val="cs-CZ" w:eastAsia="cs-CZ"/>
        </w:rPr>
      </w:pPr>
      <w:hyperlink w:anchor="_Toc296788035" w:history="1">
        <w:r w:rsidRPr="003577D7">
          <w:rPr>
            <w:rStyle w:val="Hypertextovodkaz"/>
            <w:noProof/>
            <w:lang w:val="cs-CZ"/>
          </w:rPr>
          <w:t>10</w:t>
        </w:r>
        <w:r>
          <w:rPr>
            <w:rFonts w:asciiTheme="minorHAnsi" w:eastAsiaTheme="minorEastAsia" w:hAnsiTheme="minorHAnsi"/>
            <w:b w:val="0"/>
            <w:bCs w:val="0"/>
            <w:caps w:val="0"/>
            <w:noProof/>
            <w:sz w:val="22"/>
            <w:szCs w:val="22"/>
            <w:lang w:val="cs-CZ" w:eastAsia="cs-CZ"/>
          </w:rPr>
          <w:tab/>
        </w:r>
        <w:r w:rsidRPr="003577D7">
          <w:rPr>
            <w:rStyle w:val="Hypertextovodkaz"/>
            <w:noProof/>
            <w:lang w:val="cs-CZ"/>
          </w:rPr>
          <w:t>Citace</w:t>
        </w:r>
        <w:r>
          <w:rPr>
            <w:noProof/>
            <w:webHidden/>
          </w:rPr>
          <w:tab/>
        </w:r>
        <w:r>
          <w:rPr>
            <w:noProof/>
            <w:webHidden/>
          </w:rPr>
          <w:fldChar w:fldCharType="begin"/>
        </w:r>
        <w:r>
          <w:rPr>
            <w:noProof/>
            <w:webHidden/>
          </w:rPr>
          <w:instrText xml:space="preserve"> PAGEREF _Toc296788035 \h </w:instrText>
        </w:r>
        <w:r>
          <w:rPr>
            <w:noProof/>
            <w:webHidden/>
          </w:rPr>
        </w:r>
        <w:r>
          <w:rPr>
            <w:noProof/>
            <w:webHidden/>
          </w:rPr>
          <w:fldChar w:fldCharType="separate"/>
        </w:r>
        <w:r>
          <w:rPr>
            <w:noProof/>
            <w:webHidden/>
          </w:rPr>
          <w:t>14</w:t>
        </w:r>
        <w:r>
          <w:rPr>
            <w:noProof/>
            <w:webHidden/>
          </w:rPr>
          <w:fldChar w:fldCharType="end"/>
        </w:r>
      </w:hyperlink>
    </w:p>
    <w:p w:rsidR="006F4641" w:rsidRDefault="006F4641">
      <w:pPr>
        <w:pStyle w:val="Obsah1"/>
        <w:tabs>
          <w:tab w:val="left" w:pos="660"/>
          <w:tab w:val="right" w:leader="underscore" w:pos="9350"/>
        </w:tabs>
        <w:rPr>
          <w:rFonts w:asciiTheme="minorHAnsi" w:eastAsiaTheme="minorEastAsia" w:hAnsiTheme="minorHAnsi"/>
          <w:b w:val="0"/>
          <w:bCs w:val="0"/>
          <w:caps w:val="0"/>
          <w:noProof/>
          <w:sz w:val="22"/>
          <w:szCs w:val="22"/>
          <w:lang w:val="cs-CZ" w:eastAsia="cs-CZ"/>
        </w:rPr>
      </w:pPr>
      <w:hyperlink w:anchor="_Toc296788036" w:history="1">
        <w:r w:rsidRPr="003577D7">
          <w:rPr>
            <w:rStyle w:val="Hypertextovodkaz"/>
            <w:rFonts w:eastAsia="Arial Unicode MS"/>
            <w:noProof/>
            <w:lang w:val="cs-CZ"/>
          </w:rPr>
          <w:t>11</w:t>
        </w:r>
        <w:r>
          <w:rPr>
            <w:rFonts w:asciiTheme="minorHAnsi" w:eastAsiaTheme="minorEastAsia" w:hAnsiTheme="minorHAnsi"/>
            <w:b w:val="0"/>
            <w:bCs w:val="0"/>
            <w:caps w:val="0"/>
            <w:noProof/>
            <w:sz w:val="22"/>
            <w:szCs w:val="22"/>
            <w:lang w:val="cs-CZ" w:eastAsia="cs-CZ"/>
          </w:rPr>
          <w:tab/>
        </w:r>
        <w:r w:rsidRPr="003577D7">
          <w:rPr>
            <w:rStyle w:val="Hypertextovodkaz"/>
            <w:rFonts w:eastAsia="Arial Unicode MS"/>
            <w:noProof/>
            <w:lang w:val="cs-CZ"/>
          </w:rPr>
          <w:t>Obsah</w:t>
        </w:r>
        <w:r>
          <w:rPr>
            <w:noProof/>
            <w:webHidden/>
          </w:rPr>
          <w:tab/>
        </w:r>
        <w:r>
          <w:rPr>
            <w:noProof/>
            <w:webHidden/>
          </w:rPr>
          <w:fldChar w:fldCharType="begin"/>
        </w:r>
        <w:r>
          <w:rPr>
            <w:noProof/>
            <w:webHidden/>
          </w:rPr>
          <w:instrText xml:space="preserve"> PAGEREF _Toc296788036 \h </w:instrText>
        </w:r>
        <w:r>
          <w:rPr>
            <w:noProof/>
            <w:webHidden/>
          </w:rPr>
        </w:r>
        <w:r>
          <w:rPr>
            <w:noProof/>
            <w:webHidden/>
          </w:rPr>
          <w:fldChar w:fldCharType="separate"/>
        </w:r>
        <w:r>
          <w:rPr>
            <w:noProof/>
            <w:webHidden/>
          </w:rPr>
          <w:t>15</w:t>
        </w:r>
        <w:r>
          <w:rPr>
            <w:noProof/>
            <w:webHidden/>
          </w:rPr>
          <w:fldChar w:fldCharType="end"/>
        </w:r>
      </w:hyperlink>
    </w:p>
    <w:p w:rsidR="003A686B" w:rsidRPr="002B6850" w:rsidRDefault="00E02A81" w:rsidP="00E1767D">
      <w:pPr>
        <w:rPr>
          <w:lang w:val="cs-CZ"/>
        </w:rPr>
      </w:pPr>
      <w:r w:rsidRPr="002B6850">
        <w:rPr>
          <w:lang w:val="cs-CZ"/>
        </w:rPr>
        <w:fldChar w:fldCharType="end"/>
      </w:r>
    </w:p>
    <w:sectPr w:rsidR="003A686B" w:rsidRPr="002B6850" w:rsidSect="00F2316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0BB" w:rsidRDefault="00F170BB" w:rsidP="00FE00CE">
      <w:pPr>
        <w:spacing w:after="0" w:line="240" w:lineRule="auto"/>
      </w:pPr>
      <w:r>
        <w:separator/>
      </w:r>
    </w:p>
  </w:endnote>
  <w:endnote w:type="continuationSeparator" w:id="0">
    <w:p w:rsidR="00F170BB" w:rsidRDefault="00F170BB" w:rsidP="00FE00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DF7" w:rsidRPr="00BC0916" w:rsidRDefault="00810DF7" w:rsidP="00BC0916">
    <w:pPr>
      <w:pStyle w:val="Zpat"/>
      <w:rPr>
        <w:lang w:val="cs-CZ"/>
      </w:rPr>
    </w:pPr>
    <w:r w:rsidRPr="00C70D2C">
      <w:rPr>
        <w:lang w:val="cs-CZ"/>
      </w:rPr>
      <w:t xml:space="preserve">strana </w:t>
    </w:r>
    <w:sdt>
      <w:sdtPr>
        <w:rPr>
          <w:lang w:val="cs-CZ"/>
        </w:rPr>
        <w:id w:val="9998495"/>
        <w:docPartObj>
          <w:docPartGallery w:val="Page Numbers (Bottom of Page)"/>
          <w:docPartUnique/>
        </w:docPartObj>
      </w:sdtPr>
      <w:sdtEndPr>
        <w:rPr>
          <w:noProof/>
        </w:rPr>
      </w:sdtEndPr>
      <w:sdtContent>
        <w:r w:rsidRPr="00C70D2C">
          <w:rPr>
            <w:lang w:val="cs-CZ"/>
          </w:rPr>
          <w:fldChar w:fldCharType="begin"/>
        </w:r>
        <w:r w:rsidRPr="00C70D2C">
          <w:rPr>
            <w:lang w:val="cs-CZ"/>
          </w:rPr>
          <w:instrText xml:space="preserve"> PAGE   \* MERGEFORMAT </w:instrText>
        </w:r>
        <w:r w:rsidRPr="00C70D2C">
          <w:rPr>
            <w:lang w:val="cs-CZ"/>
          </w:rPr>
          <w:fldChar w:fldCharType="separate"/>
        </w:r>
        <w:r w:rsidR="006F4641">
          <w:rPr>
            <w:noProof/>
            <w:lang w:val="cs-CZ"/>
          </w:rPr>
          <w:t>14</w:t>
        </w:r>
        <w:r w:rsidRPr="00C70D2C">
          <w:rPr>
            <w:noProof/>
            <w:lang w:val="cs-CZ"/>
          </w:rPr>
          <w:fldChar w:fldCharType="end"/>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DF7" w:rsidRPr="00C70D2C" w:rsidRDefault="00810DF7" w:rsidP="00BC0916">
    <w:pPr>
      <w:pStyle w:val="Zpat"/>
      <w:jc w:val="right"/>
      <w:rPr>
        <w:lang w:val="cs-CZ"/>
      </w:rPr>
    </w:pPr>
    <w:r w:rsidRPr="00C70D2C">
      <w:rPr>
        <w:lang w:val="cs-CZ"/>
      </w:rPr>
      <w:t xml:space="preserve">strana </w:t>
    </w:r>
    <w:sdt>
      <w:sdtPr>
        <w:rPr>
          <w:lang w:val="cs-CZ"/>
        </w:rPr>
        <w:id w:val="145643674"/>
        <w:docPartObj>
          <w:docPartGallery w:val="Page Numbers (Bottom of Page)"/>
          <w:docPartUnique/>
        </w:docPartObj>
      </w:sdtPr>
      <w:sdtEndPr>
        <w:rPr>
          <w:noProof/>
        </w:rPr>
      </w:sdtEndPr>
      <w:sdtContent>
        <w:r w:rsidRPr="00C70D2C">
          <w:rPr>
            <w:lang w:val="cs-CZ"/>
          </w:rPr>
          <w:fldChar w:fldCharType="begin"/>
        </w:r>
        <w:r w:rsidRPr="00C70D2C">
          <w:rPr>
            <w:lang w:val="cs-CZ"/>
          </w:rPr>
          <w:instrText xml:space="preserve"> PAGE   \* MERGEFORMAT </w:instrText>
        </w:r>
        <w:r w:rsidRPr="00C70D2C">
          <w:rPr>
            <w:lang w:val="cs-CZ"/>
          </w:rPr>
          <w:fldChar w:fldCharType="separate"/>
        </w:r>
        <w:r w:rsidR="006F4641">
          <w:rPr>
            <w:noProof/>
            <w:lang w:val="cs-CZ"/>
          </w:rPr>
          <w:t>15</w:t>
        </w:r>
        <w:r w:rsidRPr="00C70D2C">
          <w:rPr>
            <w:noProof/>
            <w:lang w:val="cs-CZ"/>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0BB" w:rsidRDefault="00F170BB" w:rsidP="00FE00CE">
      <w:pPr>
        <w:spacing w:after="0" w:line="240" w:lineRule="auto"/>
      </w:pPr>
      <w:r>
        <w:separator/>
      </w:r>
    </w:p>
  </w:footnote>
  <w:footnote w:type="continuationSeparator" w:id="0">
    <w:p w:rsidR="00F170BB" w:rsidRDefault="00F170BB" w:rsidP="00FE00CE">
      <w:pPr>
        <w:spacing w:after="0" w:line="240" w:lineRule="auto"/>
      </w:pPr>
      <w:r>
        <w:continuationSeparator/>
      </w:r>
    </w:p>
  </w:footnote>
  <w:footnote w:id="1">
    <w:p w:rsidR="00810DF7" w:rsidRPr="00407825" w:rsidRDefault="00810DF7">
      <w:pPr>
        <w:pStyle w:val="Textpoznpodarou"/>
        <w:rPr>
          <w:lang w:val="cs-CZ"/>
        </w:rPr>
      </w:pPr>
      <w:r>
        <w:rPr>
          <w:rStyle w:val="Znakapoznpodarou"/>
        </w:rPr>
        <w:footnoteRef/>
      </w:r>
      <w:r>
        <w:t xml:space="preserve"> </w:t>
      </w:r>
      <w:r>
        <w:rPr>
          <w:lang w:val="cs-CZ"/>
        </w:rPr>
        <w:t>Podprůměrné kurzy jsou červeně zvýrazněné</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DF7" w:rsidRPr="00F23166" w:rsidRDefault="00810DF7">
    <w:pPr>
      <w:pStyle w:val="Zhlav"/>
      <w:rPr>
        <w:lang w:val="cs-CZ"/>
      </w:rPr>
    </w:pPr>
    <w:r>
      <w:rPr>
        <w:lang w:val="cs-CZ"/>
      </w:rPr>
      <w:t>FINÁLE – JÁNSKÉ LÁZNĚ</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DF7" w:rsidRPr="00F23166" w:rsidRDefault="00810DF7" w:rsidP="00BC0916">
    <w:pPr>
      <w:pStyle w:val="Zhlav"/>
      <w:jc w:val="right"/>
      <w:rPr>
        <w:lang w:val="cs-CZ"/>
      </w:rPr>
    </w:pPr>
    <w:r>
      <w:rPr>
        <w:lang w:val="cs-CZ"/>
      </w:rPr>
      <w:t>FINÁLE – JÁNSKÉ LÁZNĚ</w:t>
    </w:r>
  </w:p>
  <w:p w:rsidR="00810DF7" w:rsidRDefault="00810DF7">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D2C56"/>
    <w:multiLevelType w:val="hybridMultilevel"/>
    <w:tmpl w:val="402090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D2538C0"/>
    <w:multiLevelType w:val="hybridMultilevel"/>
    <w:tmpl w:val="9D44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5457BF"/>
    <w:multiLevelType w:val="hybridMultilevel"/>
    <w:tmpl w:val="EB689C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A400A6E"/>
    <w:multiLevelType w:val="hybridMultilevel"/>
    <w:tmpl w:val="ADE60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952BDF"/>
    <w:multiLevelType w:val="hybridMultilevel"/>
    <w:tmpl w:val="7366A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602099"/>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71830D74"/>
    <w:multiLevelType w:val="hybridMultilevel"/>
    <w:tmpl w:val="96FCB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BA76FB"/>
    <w:multiLevelType w:val="hybridMultilevel"/>
    <w:tmpl w:val="5052B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7"/>
  </w:num>
  <w:num w:numId="4">
    <w:abstractNumId w:val="6"/>
  </w:num>
  <w:num w:numId="5">
    <w:abstractNumId w:val="4"/>
  </w:num>
  <w:num w:numId="6">
    <w:abstractNumId w:val="1"/>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115C70"/>
    <w:rsid w:val="000370C7"/>
    <w:rsid w:val="000623B9"/>
    <w:rsid w:val="00086D9A"/>
    <w:rsid w:val="00115C70"/>
    <w:rsid w:val="00136125"/>
    <w:rsid w:val="00163B28"/>
    <w:rsid w:val="00173F17"/>
    <w:rsid w:val="00246331"/>
    <w:rsid w:val="0027755F"/>
    <w:rsid w:val="00296EF6"/>
    <w:rsid w:val="002B5E15"/>
    <w:rsid w:val="002B6850"/>
    <w:rsid w:val="002F626C"/>
    <w:rsid w:val="00304991"/>
    <w:rsid w:val="0037215D"/>
    <w:rsid w:val="00373C83"/>
    <w:rsid w:val="003A083A"/>
    <w:rsid w:val="003A686B"/>
    <w:rsid w:val="003B687A"/>
    <w:rsid w:val="003D6FBE"/>
    <w:rsid w:val="00407825"/>
    <w:rsid w:val="00440DF6"/>
    <w:rsid w:val="00445090"/>
    <w:rsid w:val="00506870"/>
    <w:rsid w:val="00545410"/>
    <w:rsid w:val="00582146"/>
    <w:rsid w:val="005A156C"/>
    <w:rsid w:val="00604A57"/>
    <w:rsid w:val="00623981"/>
    <w:rsid w:val="0065337D"/>
    <w:rsid w:val="0066143F"/>
    <w:rsid w:val="006F4641"/>
    <w:rsid w:val="007901EA"/>
    <w:rsid w:val="00810DF7"/>
    <w:rsid w:val="008263B4"/>
    <w:rsid w:val="008318CC"/>
    <w:rsid w:val="008C07E6"/>
    <w:rsid w:val="00906C2B"/>
    <w:rsid w:val="0092069C"/>
    <w:rsid w:val="009316D0"/>
    <w:rsid w:val="009427C0"/>
    <w:rsid w:val="009E344F"/>
    <w:rsid w:val="00A46652"/>
    <w:rsid w:val="00A8292B"/>
    <w:rsid w:val="00AA774F"/>
    <w:rsid w:val="00AC607E"/>
    <w:rsid w:val="00B44D95"/>
    <w:rsid w:val="00BC0916"/>
    <w:rsid w:val="00BF4B15"/>
    <w:rsid w:val="00C12E6F"/>
    <w:rsid w:val="00C70D2C"/>
    <w:rsid w:val="00C73D3E"/>
    <w:rsid w:val="00CC12D6"/>
    <w:rsid w:val="00D42A59"/>
    <w:rsid w:val="00D67797"/>
    <w:rsid w:val="00E02A81"/>
    <w:rsid w:val="00E062D6"/>
    <w:rsid w:val="00E1767D"/>
    <w:rsid w:val="00E42FEC"/>
    <w:rsid w:val="00F170BB"/>
    <w:rsid w:val="00F23166"/>
    <w:rsid w:val="00F2721C"/>
    <w:rsid w:val="00FE00CE"/>
    <w:rsid w:val="00FF47B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02A81"/>
  </w:style>
  <w:style w:type="paragraph" w:styleId="Nadpis1">
    <w:name w:val="heading 1"/>
    <w:basedOn w:val="Normln"/>
    <w:next w:val="Normln"/>
    <w:link w:val="Nadpis1Char"/>
    <w:uiPriority w:val="9"/>
    <w:qFormat/>
    <w:rsid w:val="00440DF6"/>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0DF6"/>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40DF6"/>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40DF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40DF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40DF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40DF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40DF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40DF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40DF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40DF6"/>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440DF6"/>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40DF6"/>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40DF6"/>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40DF6"/>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40DF6"/>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40DF6"/>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40DF6"/>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uiPriority w:val="34"/>
    <w:qFormat/>
    <w:rsid w:val="00440DF6"/>
    <w:pPr>
      <w:ind w:left="720"/>
      <w:contextualSpacing/>
    </w:pPr>
  </w:style>
  <w:style w:type="paragraph" w:styleId="Zhlav">
    <w:name w:val="header"/>
    <w:basedOn w:val="Normln"/>
    <w:link w:val="ZhlavChar"/>
    <w:uiPriority w:val="99"/>
    <w:unhideWhenUsed/>
    <w:rsid w:val="00FE00CE"/>
    <w:pPr>
      <w:tabs>
        <w:tab w:val="center" w:pos="4680"/>
        <w:tab w:val="right" w:pos="9360"/>
      </w:tabs>
      <w:spacing w:after="0" w:line="240" w:lineRule="auto"/>
    </w:pPr>
  </w:style>
  <w:style w:type="character" w:customStyle="1" w:styleId="ZhlavChar">
    <w:name w:val="Záhlaví Char"/>
    <w:basedOn w:val="Standardnpsmoodstavce"/>
    <w:link w:val="Zhlav"/>
    <w:uiPriority w:val="99"/>
    <w:rsid w:val="00FE00CE"/>
  </w:style>
  <w:style w:type="paragraph" w:styleId="Zpat">
    <w:name w:val="footer"/>
    <w:basedOn w:val="Normln"/>
    <w:link w:val="ZpatChar"/>
    <w:uiPriority w:val="99"/>
    <w:unhideWhenUsed/>
    <w:rsid w:val="00FE00CE"/>
    <w:pPr>
      <w:tabs>
        <w:tab w:val="center" w:pos="4680"/>
        <w:tab w:val="right" w:pos="9360"/>
      </w:tabs>
      <w:spacing w:after="0" w:line="240" w:lineRule="auto"/>
    </w:pPr>
  </w:style>
  <w:style w:type="character" w:customStyle="1" w:styleId="ZpatChar">
    <w:name w:val="Zápatí Char"/>
    <w:basedOn w:val="Standardnpsmoodstavce"/>
    <w:link w:val="Zpat"/>
    <w:uiPriority w:val="99"/>
    <w:rsid w:val="00FE00CE"/>
  </w:style>
  <w:style w:type="paragraph" w:styleId="Obsah1">
    <w:name w:val="toc 1"/>
    <w:basedOn w:val="Normln"/>
    <w:next w:val="Normln"/>
    <w:autoRedefine/>
    <w:uiPriority w:val="39"/>
    <w:unhideWhenUsed/>
    <w:rsid w:val="00E1767D"/>
    <w:pPr>
      <w:spacing w:before="360" w:after="0"/>
    </w:pPr>
    <w:rPr>
      <w:rFonts w:asciiTheme="majorHAnsi" w:hAnsiTheme="majorHAnsi"/>
      <w:b/>
      <w:bCs/>
      <w:caps/>
      <w:sz w:val="24"/>
      <w:szCs w:val="24"/>
    </w:rPr>
  </w:style>
  <w:style w:type="paragraph" w:styleId="Obsah2">
    <w:name w:val="toc 2"/>
    <w:basedOn w:val="Normln"/>
    <w:next w:val="Normln"/>
    <w:autoRedefine/>
    <w:uiPriority w:val="39"/>
    <w:unhideWhenUsed/>
    <w:rsid w:val="00E1767D"/>
    <w:pPr>
      <w:spacing w:before="240" w:after="0"/>
    </w:pPr>
    <w:rPr>
      <w:rFonts w:cstheme="minorHAnsi"/>
      <w:b/>
      <w:bCs/>
      <w:sz w:val="20"/>
      <w:szCs w:val="20"/>
    </w:rPr>
  </w:style>
  <w:style w:type="paragraph" w:styleId="Obsah3">
    <w:name w:val="toc 3"/>
    <w:basedOn w:val="Normln"/>
    <w:next w:val="Normln"/>
    <w:autoRedefine/>
    <w:uiPriority w:val="39"/>
    <w:unhideWhenUsed/>
    <w:rsid w:val="00E1767D"/>
    <w:pPr>
      <w:spacing w:after="0"/>
      <w:ind w:left="220"/>
    </w:pPr>
    <w:rPr>
      <w:rFonts w:cstheme="minorHAnsi"/>
      <w:sz w:val="20"/>
      <w:szCs w:val="20"/>
    </w:rPr>
  </w:style>
  <w:style w:type="paragraph" w:styleId="Obsah4">
    <w:name w:val="toc 4"/>
    <w:basedOn w:val="Normln"/>
    <w:next w:val="Normln"/>
    <w:autoRedefine/>
    <w:uiPriority w:val="39"/>
    <w:unhideWhenUsed/>
    <w:rsid w:val="00E1767D"/>
    <w:pPr>
      <w:spacing w:after="0"/>
      <w:ind w:left="440"/>
    </w:pPr>
    <w:rPr>
      <w:rFonts w:cstheme="minorHAnsi"/>
      <w:sz w:val="20"/>
      <w:szCs w:val="20"/>
    </w:rPr>
  </w:style>
  <w:style w:type="paragraph" w:styleId="Obsah5">
    <w:name w:val="toc 5"/>
    <w:basedOn w:val="Normln"/>
    <w:next w:val="Normln"/>
    <w:autoRedefine/>
    <w:uiPriority w:val="39"/>
    <w:unhideWhenUsed/>
    <w:rsid w:val="00E1767D"/>
    <w:pPr>
      <w:spacing w:after="0"/>
      <w:ind w:left="660"/>
    </w:pPr>
    <w:rPr>
      <w:rFonts w:cstheme="minorHAnsi"/>
      <w:sz w:val="20"/>
      <w:szCs w:val="20"/>
    </w:rPr>
  </w:style>
  <w:style w:type="paragraph" w:styleId="Obsah6">
    <w:name w:val="toc 6"/>
    <w:basedOn w:val="Normln"/>
    <w:next w:val="Normln"/>
    <w:autoRedefine/>
    <w:uiPriority w:val="39"/>
    <w:unhideWhenUsed/>
    <w:rsid w:val="00E1767D"/>
    <w:pPr>
      <w:spacing w:after="0"/>
      <w:ind w:left="880"/>
    </w:pPr>
    <w:rPr>
      <w:rFonts w:cstheme="minorHAnsi"/>
      <w:sz w:val="20"/>
      <w:szCs w:val="20"/>
    </w:rPr>
  </w:style>
  <w:style w:type="paragraph" w:styleId="Obsah7">
    <w:name w:val="toc 7"/>
    <w:basedOn w:val="Normln"/>
    <w:next w:val="Normln"/>
    <w:autoRedefine/>
    <w:uiPriority w:val="39"/>
    <w:unhideWhenUsed/>
    <w:rsid w:val="00E1767D"/>
    <w:pPr>
      <w:spacing w:after="0"/>
      <w:ind w:left="1100"/>
    </w:pPr>
    <w:rPr>
      <w:rFonts w:cstheme="minorHAnsi"/>
      <w:sz w:val="20"/>
      <w:szCs w:val="20"/>
    </w:rPr>
  </w:style>
  <w:style w:type="paragraph" w:styleId="Obsah8">
    <w:name w:val="toc 8"/>
    <w:basedOn w:val="Normln"/>
    <w:next w:val="Normln"/>
    <w:autoRedefine/>
    <w:uiPriority w:val="39"/>
    <w:unhideWhenUsed/>
    <w:rsid w:val="00E1767D"/>
    <w:pPr>
      <w:spacing w:after="0"/>
      <w:ind w:left="1320"/>
    </w:pPr>
    <w:rPr>
      <w:rFonts w:cstheme="minorHAnsi"/>
      <w:sz w:val="20"/>
      <w:szCs w:val="20"/>
    </w:rPr>
  </w:style>
  <w:style w:type="paragraph" w:styleId="Obsah9">
    <w:name w:val="toc 9"/>
    <w:basedOn w:val="Normln"/>
    <w:next w:val="Normln"/>
    <w:autoRedefine/>
    <w:uiPriority w:val="39"/>
    <w:unhideWhenUsed/>
    <w:rsid w:val="00E1767D"/>
    <w:pPr>
      <w:spacing w:after="0"/>
      <w:ind w:left="1540"/>
    </w:pPr>
    <w:rPr>
      <w:rFonts w:cstheme="minorHAnsi"/>
      <w:sz w:val="20"/>
      <w:szCs w:val="20"/>
    </w:rPr>
  </w:style>
  <w:style w:type="character" w:styleId="Hypertextovodkaz">
    <w:name w:val="Hyperlink"/>
    <w:basedOn w:val="Standardnpsmoodstavce"/>
    <w:uiPriority w:val="99"/>
    <w:unhideWhenUsed/>
    <w:rsid w:val="00E1767D"/>
    <w:rPr>
      <w:color w:val="0000FF" w:themeColor="hyperlink"/>
      <w:u w:val="single"/>
    </w:rPr>
  </w:style>
  <w:style w:type="table" w:styleId="Stednmka3zvraznn3">
    <w:name w:val="Medium Grid 3 Accent 3"/>
    <w:basedOn w:val="Normlntabulka"/>
    <w:uiPriority w:val="69"/>
    <w:rsid w:val="00163B2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Zstupntext">
    <w:name w:val="Placeholder Text"/>
    <w:basedOn w:val="Standardnpsmoodstavce"/>
    <w:uiPriority w:val="99"/>
    <w:semiHidden/>
    <w:rsid w:val="003D6FBE"/>
    <w:rPr>
      <w:color w:val="808080"/>
    </w:rPr>
  </w:style>
  <w:style w:type="paragraph" w:styleId="Textbubliny">
    <w:name w:val="Balloon Text"/>
    <w:basedOn w:val="Normln"/>
    <w:link w:val="TextbublinyChar"/>
    <w:uiPriority w:val="99"/>
    <w:semiHidden/>
    <w:unhideWhenUsed/>
    <w:rsid w:val="003D6FB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D6FBE"/>
    <w:rPr>
      <w:rFonts w:ascii="Tahoma" w:hAnsi="Tahoma" w:cs="Tahoma"/>
      <w:sz w:val="16"/>
      <w:szCs w:val="16"/>
    </w:rPr>
  </w:style>
  <w:style w:type="paragraph" w:styleId="Titulek">
    <w:name w:val="caption"/>
    <w:basedOn w:val="Normln"/>
    <w:next w:val="Normln"/>
    <w:uiPriority w:val="35"/>
    <w:unhideWhenUsed/>
    <w:qFormat/>
    <w:rsid w:val="00304991"/>
    <w:pPr>
      <w:spacing w:line="240" w:lineRule="auto"/>
    </w:pPr>
    <w:rPr>
      <w:b/>
      <w:bCs/>
      <w:color w:val="4F81BD" w:themeColor="accent1"/>
      <w:sz w:val="18"/>
      <w:szCs w:val="18"/>
    </w:rPr>
  </w:style>
  <w:style w:type="table" w:styleId="Mkatabulky">
    <w:name w:val="Table Grid"/>
    <w:basedOn w:val="Normlntabulka"/>
    <w:uiPriority w:val="59"/>
    <w:rsid w:val="002B68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vtlstnovnzvraznn3">
    <w:name w:val="Light Shading Accent 3"/>
    <w:basedOn w:val="Normlntabulka"/>
    <w:uiPriority w:val="60"/>
    <w:rsid w:val="002B685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Bibliografie">
    <w:name w:val="Bibliography"/>
    <w:basedOn w:val="Normln"/>
    <w:next w:val="Normln"/>
    <w:uiPriority w:val="37"/>
    <w:unhideWhenUsed/>
    <w:rsid w:val="00906C2B"/>
  </w:style>
  <w:style w:type="paragraph" w:styleId="Textpoznpodarou">
    <w:name w:val="footnote text"/>
    <w:basedOn w:val="Normln"/>
    <w:link w:val="TextpoznpodarouChar"/>
    <w:uiPriority w:val="99"/>
    <w:semiHidden/>
    <w:unhideWhenUsed/>
    <w:rsid w:val="00173F1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73F17"/>
    <w:rPr>
      <w:sz w:val="20"/>
      <w:szCs w:val="20"/>
    </w:rPr>
  </w:style>
  <w:style w:type="character" w:styleId="Znakapoznpodarou">
    <w:name w:val="footnote reference"/>
    <w:basedOn w:val="Standardnpsmoodstavce"/>
    <w:uiPriority w:val="99"/>
    <w:semiHidden/>
    <w:unhideWhenUsed/>
    <w:rsid w:val="00173F17"/>
    <w:rPr>
      <w:vertAlign w:val="superscript"/>
    </w:rPr>
  </w:style>
  <w:style w:type="table" w:customStyle="1" w:styleId="Svtlstnovn">
    <w:name w:val="Light Shading"/>
    <w:basedOn w:val="Normlntabulka"/>
    <w:uiPriority w:val="60"/>
    <w:rsid w:val="00086D9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vtlstnovnzvraznn1">
    <w:name w:val="Light Shading Accent 1"/>
    <w:basedOn w:val="Normlntabulka"/>
    <w:uiPriority w:val="60"/>
    <w:rsid w:val="00086D9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zvraznn2">
    <w:name w:val="Light Shading Accent 2"/>
    <w:basedOn w:val="Normlntabulka"/>
    <w:uiPriority w:val="60"/>
    <w:rsid w:val="00086D9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tednstnovn1zvraznn3">
    <w:name w:val="Medium Shading 1 Accent 3"/>
    <w:basedOn w:val="Normlntabulka"/>
    <w:uiPriority w:val="63"/>
    <w:rsid w:val="00086D9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0DF6"/>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0DF6"/>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40DF6"/>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40DF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40DF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40DF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40DF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40DF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40DF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0DF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40DF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40DF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40DF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40DF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40DF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40DF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40DF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40DF6"/>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440DF6"/>
    <w:pPr>
      <w:ind w:left="720"/>
      <w:contextualSpacing/>
    </w:pPr>
  </w:style>
  <w:style w:type="paragraph" w:styleId="Header">
    <w:name w:val="header"/>
    <w:basedOn w:val="Normal"/>
    <w:link w:val="HeaderChar"/>
    <w:uiPriority w:val="99"/>
    <w:unhideWhenUsed/>
    <w:rsid w:val="00FE00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00CE"/>
  </w:style>
  <w:style w:type="paragraph" w:styleId="Footer">
    <w:name w:val="footer"/>
    <w:basedOn w:val="Normal"/>
    <w:link w:val="FooterChar"/>
    <w:uiPriority w:val="99"/>
    <w:unhideWhenUsed/>
    <w:rsid w:val="00FE00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00CE"/>
  </w:style>
  <w:style w:type="paragraph" w:styleId="TOC1">
    <w:name w:val="toc 1"/>
    <w:basedOn w:val="Normal"/>
    <w:next w:val="Normal"/>
    <w:autoRedefine/>
    <w:uiPriority w:val="39"/>
    <w:unhideWhenUsed/>
    <w:rsid w:val="00E1767D"/>
    <w:pPr>
      <w:spacing w:before="360" w:after="0"/>
    </w:pPr>
    <w:rPr>
      <w:rFonts w:asciiTheme="majorHAnsi" w:hAnsiTheme="majorHAnsi"/>
      <w:b/>
      <w:bCs/>
      <w:caps/>
      <w:sz w:val="24"/>
      <w:szCs w:val="24"/>
    </w:rPr>
  </w:style>
  <w:style w:type="paragraph" w:styleId="TOC2">
    <w:name w:val="toc 2"/>
    <w:basedOn w:val="Normal"/>
    <w:next w:val="Normal"/>
    <w:autoRedefine/>
    <w:uiPriority w:val="39"/>
    <w:unhideWhenUsed/>
    <w:rsid w:val="00E1767D"/>
    <w:pPr>
      <w:spacing w:before="240" w:after="0"/>
    </w:pPr>
    <w:rPr>
      <w:rFonts w:cstheme="minorHAnsi"/>
      <w:b/>
      <w:bCs/>
      <w:sz w:val="20"/>
      <w:szCs w:val="20"/>
    </w:rPr>
  </w:style>
  <w:style w:type="paragraph" w:styleId="TOC3">
    <w:name w:val="toc 3"/>
    <w:basedOn w:val="Normal"/>
    <w:next w:val="Normal"/>
    <w:autoRedefine/>
    <w:uiPriority w:val="39"/>
    <w:unhideWhenUsed/>
    <w:rsid w:val="00E1767D"/>
    <w:pPr>
      <w:spacing w:after="0"/>
      <w:ind w:left="220"/>
    </w:pPr>
    <w:rPr>
      <w:rFonts w:cstheme="minorHAnsi"/>
      <w:sz w:val="20"/>
      <w:szCs w:val="20"/>
    </w:rPr>
  </w:style>
  <w:style w:type="paragraph" w:styleId="TOC4">
    <w:name w:val="toc 4"/>
    <w:basedOn w:val="Normal"/>
    <w:next w:val="Normal"/>
    <w:autoRedefine/>
    <w:uiPriority w:val="39"/>
    <w:unhideWhenUsed/>
    <w:rsid w:val="00E1767D"/>
    <w:pPr>
      <w:spacing w:after="0"/>
      <w:ind w:left="440"/>
    </w:pPr>
    <w:rPr>
      <w:rFonts w:cstheme="minorHAnsi"/>
      <w:sz w:val="20"/>
      <w:szCs w:val="20"/>
    </w:rPr>
  </w:style>
  <w:style w:type="paragraph" w:styleId="TOC5">
    <w:name w:val="toc 5"/>
    <w:basedOn w:val="Normal"/>
    <w:next w:val="Normal"/>
    <w:autoRedefine/>
    <w:uiPriority w:val="39"/>
    <w:unhideWhenUsed/>
    <w:rsid w:val="00E1767D"/>
    <w:pPr>
      <w:spacing w:after="0"/>
      <w:ind w:left="660"/>
    </w:pPr>
    <w:rPr>
      <w:rFonts w:cstheme="minorHAnsi"/>
      <w:sz w:val="20"/>
      <w:szCs w:val="20"/>
    </w:rPr>
  </w:style>
  <w:style w:type="paragraph" w:styleId="TOC6">
    <w:name w:val="toc 6"/>
    <w:basedOn w:val="Normal"/>
    <w:next w:val="Normal"/>
    <w:autoRedefine/>
    <w:uiPriority w:val="39"/>
    <w:unhideWhenUsed/>
    <w:rsid w:val="00E1767D"/>
    <w:pPr>
      <w:spacing w:after="0"/>
      <w:ind w:left="880"/>
    </w:pPr>
    <w:rPr>
      <w:rFonts w:cstheme="minorHAnsi"/>
      <w:sz w:val="20"/>
      <w:szCs w:val="20"/>
    </w:rPr>
  </w:style>
  <w:style w:type="paragraph" w:styleId="TOC7">
    <w:name w:val="toc 7"/>
    <w:basedOn w:val="Normal"/>
    <w:next w:val="Normal"/>
    <w:autoRedefine/>
    <w:uiPriority w:val="39"/>
    <w:unhideWhenUsed/>
    <w:rsid w:val="00E1767D"/>
    <w:pPr>
      <w:spacing w:after="0"/>
      <w:ind w:left="1100"/>
    </w:pPr>
    <w:rPr>
      <w:rFonts w:cstheme="minorHAnsi"/>
      <w:sz w:val="20"/>
      <w:szCs w:val="20"/>
    </w:rPr>
  </w:style>
  <w:style w:type="paragraph" w:styleId="TOC8">
    <w:name w:val="toc 8"/>
    <w:basedOn w:val="Normal"/>
    <w:next w:val="Normal"/>
    <w:autoRedefine/>
    <w:uiPriority w:val="39"/>
    <w:unhideWhenUsed/>
    <w:rsid w:val="00E1767D"/>
    <w:pPr>
      <w:spacing w:after="0"/>
      <w:ind w:left="1320"/>
    </w:pPr>
    <w:rPr>
      <w:rFonts w:cstheme="minorHAnsi"/>
      <w:sz w:val="20"/>
      <w:szCs w:val="20"/>
    </w:rPr>
  </w:style>
  <w:style w:type="paragraph" w:styleId="TOC9">
    <w:name w:val="toc 9"/>
    <w:basedOn w:val="Normal"/>
    <w:next w:val="Normal"/>
    <w:autoRedefine/>
    <w:uiPriority w:val="39"/>
    <w:unhideWhenUsed/>
    <w:rsid w:val="00E1767D"/>
    <w:pPr>
      <w:spacing w:after="0"/>
      <w:ind w:left="1540"/>
    </w:pPr>
    <w:rPr>
      <w:rFonts w:cstheme="minorHAnsi"/>
      <w:sz w:val="20"/>
      <w:szCs w:val="20"/>
    </w:rPr>
  </w:style>
  <w:style w:type="character" w:styleId="Hyperlink">
    <w:name w:val="Hyperlink"/>
    <w:basedOn w:val="DefaultParagraphFont"/>
    <w:uiPriority w:val="99"/>
    <w:unhideWhenUsed/>
    <w:rsid w:val="00E1767D"/>
    <w:rPr>
      <w:color w:val="0000FF" w:themeColor="hyperlink"/>
      <w:u w:val="single"/>
    </w:rPr>
  </w:style>
  <w:style w:type="table" w:styleId="MediumGrid3-Accent3">
    <w:name w:val="Medium Grid 3 Accent 3"/>
    <w:basedOn w:val="TableNormal"/>
    <w:uiPriority w:val="69"/>
    <w:rsid w:val="00163B2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PlaceholderText">
    <w:name w:val="Placeholder Text"/>
    <w:basedOn w:val="DefaultParagraphFont"/>
    <w:uiPriority w:val="99"/>
    <w:semiHidden/>
    <w:rsid w:val="003D6FBE"/>
    <w:rPr>
      <w:color w:val="808080"/>
    </w:rPr>
  </w:style>
  <w:style w:type="paragraph" w:styleId="BalloonText">
    <w:name w:val="Balloon Text"/>
    <w:basedOn w:val="Normal"/>
    <w:link w:val="BalloonTextChar"/>
    <w:uiPriority w:val="99"/>
    <w:semiHidden/>
    <w:unhideWhenUsed/>
    <w:rsid w:val="003D6F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6FBE"/>
    <w:rPr>
      <w:rFonts w:ascii="Tahoma" w:hAnsi="Tahoma" w:cs="Tahoma"/>
      <w:sz w:val="16"/>
      <w:szCs w:val="16"/>
    </w:rPr>
  </w:style>
  <w:style w:type="paragraph" w:styleId="Caption">
    <w:name w:val="caption"/>
    <w:basedOn w:val="Normal"/>
    <w:next w:val="Normal"/>
    <w:uiPriority w:val="35"/>
    <w:unhideWhenUsed/>
    <w:qFormat/>
    <w:rsid w:val="00304991"/>
    <w:pPr>
      <w:spacing w:line="240" w:lineRule="auto"/>
    </w:pPr>
    <w:rPr>
      <w:b/>
      <w:bCs/>
      <w:color w:val="4F81BD" w:themeColor="accent1"/>
      <w:sz w:val="18"/>
      <w:szCs w:val="18"/>
    </w:rPr>
  </w:style>
  <w:style w:type="table" w:styleId="TableGrid">
    <w:name w:val="Table Grid"/>
    <w:basedOn w:val="TableNormal"/>
    <w:uiPriority w:val="59"/>
    <w:rsid w:val="002B68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sid w:val="002B685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r="http://schemas.openxmlformats.org/officeDocument/2006/relationships" xmlns:w="http://schemas.openxmlformats.org/wordprocessingml/2006/main">
  <w:divs>
    <w:div w:id="109058953">
      <w:bodyDiv w:val="1"/>
      <w:marLeft w:val="0"/>
      <w:marRight w:val="0"/>
      <w:marTop w:val="0"/>
      <w:marBottom w:val="0"/>
      <w:divBdr>
        <w:top w:val="none" w:sz="0" w:space="0" w:color="auto"/>
        <w:left w:val="none" w:sz="0" w:space="0" w:color="auto"/>
        <w:bottom w:val="none" w:sz="0" w:space="0" w:color="auto"/>
        <w:right w:val="none" w:sz="0" w:space="0" w:color="auto"/>
      </w:divBdr>
    </w:div>
    <w:div w:id="184750825">
      <w:bodyDiv w:val="1"/>
      <w:marLeft w:val="0"/>
      <w:marRight w:val="0"/>
      <w:marTop w:val="0"/>
      <w:marBottom w:val="0"/>
      <w:divBdr>
        <w:top w:val="none" w:sz="0" w:space="0" w:color="auto"/>
        <w:left w:val="none" w:sz="0" w:space="0" w:color="auto"/>
        <w:bottom w:val="none" w:sz="0" w:space="0" w:color="auto"/>
        <w:right w:val="none" w:sz="0" w:space="0" w:color="auto"/>
      </w:divBdr>
    </w:div>
    <w:div w:id="342368070">
      <w:bodyDiv w:val="1"/>
      <w:marLeft w:val="0"/>
      <w:marRight w:val="0"/>
      <w:marTop w:val="0"/>
      <w:marBottom w:val="0"/>
      <w:divBdr>
        <w:top w:val="none" w:sz="0" w:space="0" w:color="auto"/>
        <w:left w:val="none" w:sz="0" w:space="0" w:color="auto"/>
        <w:bottom w:val="none" w:sz="0" w:space="0" w:color="auto"/>
        <w:right w:val="none" w:sz="0" w:space="0" w:color="auto"/>
      </w:divBdr>
    </w:div>
    <w:div w:id="412624357">
      <w:bodyDiv w:val="1"/>
      <w:marLeft w:val="0"/>
      <w:marRight w:val="0"/>
      <w:marTop w:val="0"/>
      <w:marBottom w:val="0"/>
      <w:divBdr>
        <w:top w:val="none" w:sz="0" w:space="0" w:color="auto"/>
        <w:left w:val="none" w:sz="0" w:space="0" w:color="auto"/>
        <w:bottom w:val="none" w:sz="0" w:space="0" w:color="auto"/>
        <w:right w:val="none" w:sz="0" w:space="0" w:color="auto"/>
      </w:divBdr>
    </w:div>
    <w:div w:id="435636424">
      <w:bodyDiv w:val="1"/>
      <w:marLeft w:val="0"/>
      <w:marRight w:val="0"/>
      <w:marTop w:val="0"/>
      <w:marBottom w:val="0"/>
      <w:divBdr>
        <w:top w:val="none" w:sz="0" w:space="0" w:color="auto"/>
        <w:left w:val="none" w:sz="0" w:space="0" w:color="auto"/>
        <w:bottom w:val="none" w:sz="0" w:space="0" w:color="auto"/>
        <w:right w:val="none" w:sz="0" w:space="0" w:color="auto"/>
      </w:divBdr>
    </w:div>
    <w:div w:id="546382221">
      <w:bodyDiv w:val="1"/>
      <w:marLeft w:val="0"/>
      <w:marRight w:val="0"/>
      <w:marTop w:val="0"/>
      <w:marBottom w:val="0"/>
      <w:divBdr>
        <w:top w:val="none" w:sz="0" w:space="0" w:color="auto"/>
        <w:left w:val="none" w:sz="0" w:space="0" w:color="auto"/>
        <w:bottom w:val="none" w:sz="0" w:space="0" w:color="auto"/>
        <w:right w:val="none" w:sz="0" w:space="0" w:color="auto"/>
      </w:divBdr>
    </w:div>
    <w:div w:id="945424914">
      <w:bodyDiv w:val="1"/>
      <w:marLeft w:val="0"/>
      <w:marRight w:val="0"/>
      <w:marTop w:val="0"/>
      <w:marBottom w:val="0"/>
      <w:divBdr>
        <w:top w:val="none" w:sz="0" w:space="0" w:color="auto"/>
        <w:left w:val="none" w:sz="0" w:space="0" w:color="auto"/>
        <w:bottom w:val="none" w:sz="0" w:space="0" w:color="auto"/>
        <w:right w:val="none" w:sz="0" w:space="0" w:color="auto"/>
      </w:divBdr>
    </w:div>
    <w:div w:id="1123231134">
      <w:bodyDiv w:val="1"/>
      <w:marLeft w:val="0"/>
      <w:marRight w:val="0"/>
      <w:marTop w:val="0"/>
      <w:marBottom w:val="0"/>
      <w:divBdr>
        <w:top w:val="none" w:sz="0" w:space="0" w:color="auto"/>
        <w:left w:val="none" w:sz="0" w:space="0" w:color="auto"/>
        <w:bottom w:val="none" w:sz="0" w:space="0" w:color="auto"/>
        <w:right w:val="none" w:sz="0" w:space="0" w:color="auto"/>
      </w:divBdr>
      <w:divsChild>
        <w:div w:id="151069850">
          <w:marLeft w:val="0"/>
          <w:marRight w:val="0"/>
          <w:marTop w:val="0"/>
          <w:marBottom w:val="0"/>
          <w:divBdr>
            <w:top w:val="none" w:sz="0" w:space="0" w:color="auto"/>
            <w:left w:val="none" w:sz="0" w:space="0" w:color="auto"/>
            <w:bottom w:val="none" w:sz="0" w:space="0" w:color="auto"/>
            <w:right w:val="none" w:sz="0" w:space="0" w:color="auto"/>
          </w:divBdr>
          <w:divsChild>
            <w:div w:id="1624310634">
              <w:marLeft w:val="0"/>
              <w:marRight w:val="0"/>
              <w:marTop w:val="150"/>
              <w:marBottom w:val="0"/>
              <w:divBdr>
                <w:top w:val="none" w:sz="0" w:space="0" w:color="auto"/>
                <w:left w:val="none" w:sz="0" w:space="0" w:color="auto"/>
                <w:bottom w:val="none" w:sz="0" w:space="0" w:color="auto"/>
                <w:right w:val="none" w:sz="0" w:space="0" w:color="auto"/>
              </w:divBdr>
              <w:divsChild>
                <w:div w:id="1576162009">
                  <w:marLeft w:val="0"/>
                  <w:marRight w:val="0"/>
                  <w:marTop w:val="0"/>
                  <w:marBottom w:val="0"/>
                  <w:divBdr>
                    <w:top w:val="none" w:sz="0" w:space="0" w:color="auto"/>
                    <w:left w:val="none" w:sz="0" w:space="0" w:color="auto"/>
                    <w:bottom w:val="none" w:sz="0" w:space="0" w:color="auto"/>
                    <w:right w:val="none" w:sz="0" w:space="0" w:color="auto"/>
                  </w:divBdr>
                  <w:divsChild>
                    <w:div w:id="348917940">
                      <w:marLeft w:val="0"/>
                      <w:marRight w:val="0"/>
                      <w:marTop w:val="0"/>
                      <w:marBottom w:val="0"/>
                      <w:divBdr>
                        <w:top w:val="none" w:sz="0" w:space="0" w:color="auto"/>
                        <w:left w:val="none" w:sz="0" w:space="0" w:color="auto"/>
                        <w:bottom w:val="none" w:sz="0" w:space="0" w:color="auto"/>
                        <w:right w:val="none" w:sz="0" w:space="0" w:color="auto"/>
                      </w:divBdr>
                      <w:divsChild>
                        <w:div w:id="367605000">
                          <w:marLeft w:val="3150"/>
                          <w:marRight w:val="3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941549">
      <w:bodyDiv w:val="1"/>
      <w:marLeft w:val="0"/>
      <w:marRight w:val="0"/>
      <w:marTop w:val="0"/>
      <w:marBottom w:val="0"/>
      <w:divBdr>
        <w:top w:val="none" w:sz="0" w:space="0" w:color="auto"/>
        <w:left w:val="none" w:sz="0" w:space="0" w:color="auto"/>
        <w:bottom w:val="none" w:sz="0" w:space="0" w:color="auto"/>
        <w:right w:val="none" w:sz="0" w:space="0" w:color="auto"/>
      </w:divBdr>
    </w:div>
    <w:div w:id="1738281535">
      <w:bodyDiv w:val="1"/>
      <w:marLeft w:val="0"/>
      <w:marRight w:val="0"/>
      <w:marTop w:val="0"/>
      <w:marBottom w:val="0"/>
      <w:divBdr>
        <w:top w:val="none" w:sz="0" w:space="0" w:color="auto"/>
        <w:left w:val="none" w:sz="0" w:space="0" w:color="auto"/>
        <w:bottom w:val="none" w:sz="0" w:space="0" w:color="auto"/>
        <w:right w:val="none" w:sz="0" w:space="0" w:color="auto"/>
      </w:divBdr>
      <w:divsChild>
        <w:div w:id="473529642">
          <w:marLeft w:val="0"/>
          <w:marRight w:val="0"/>
          <w:marTop w:val="0"/>
          <w:marBottom w:val="0"/>
          <w:divBdr>
            <w:top w:val="none" w:sz="0" w:space="0" w:color="auto"/>
            <w:left w:val="none" w:sz="0" w:space="0" w:color="auto"/>
            <w:bottom w:val="none" w:sz="0" w:space="0" w:color="auto"/>
            <w:right w:val="none" w:sz="0" w:space="0" w:color="auto"/>
          </w:divBdr>
          <w:divsChild>
            <w:div w:id="1850363663">
              <w:marLeft w:val="0"/>
              <w:marRight w:val="0"/>
              <w:marTop w:val="0"/>
              <w:marBottom w:val="0"/>
              <w:divBdr>
                <w:top w:val="none" w:sz="0" w:space="0" w:color="auto"/>
                <w:left w:val="none" w:sz="0" w:space="0" w:color="auto"/>
                <w:bottom w:val="none" w:sz="0" w:space="0" w:color="auto"/>
                <w:right w:val="none" w:sz="0" w:space="0" w:color="auto"/>
              </w:divBdr>
              <w:divsChild>
                <w:div w:id="330329533">
                  <w:marLeft w:val="0"/>
                  <w:marRight w:val="0"/>
                  <w:marTop w:val="0"/>
                  <w:marBottom w:val="0"/>
                  <w:divBdr>
                    <w:top w:val="none" w:sz="0" w:space="0" w:color="auto"/>
                    <w:left w:val="none" w:sz="0" w:space="0" w:color="auto"/>
                    <w:bottom w:val="none" w:sz="0" w:space="0" w:color="auto"/>
                    <w:right w:val="none" w:sz="0" w:space="0" w:color="auto"/>
                  </w:divBdr>
                </w:div>
                <w:div w:id="578947808">
                  <w:marLeft w:val="0"/>
                  <w:marRight w:val="0"/>
                  <w:marTop w:val="0"/>
                  <w:marBottom w:val="0"/>
                  <w:divBdr>
                    <w:top w:val="none" w:sz="0" w:space="0" w:color="auto"/>
                    <w:left w:val="none" w:sz="0" w:space="0" w:color="auto"/>
                    <w:bottom w:val="none" w:sz="0" w:space="0" w:color="auto"/>
                    <w:right w:val="none" w:sz="0" w:space="0" w:color="auto"/>
                  </w:divBdr>
                </w:div>
                <w:div w:id="983583661">
                  <w:marLeft w:val="0"/>
                  <w:marRight w:val="0"/>
                  <w:marTop w:val="0"/>
                  <w:marBottom w:val="0"/>
                  <w:divBdr>
                    <w:top w:val="none" w:sz="0" w:space="0" w:color="auto"/>
                    <w:left w:val="none" w:sz="0" w:space="0" w:color="auto"/>
                    <w:bottom w:val="none" w:sz="0" w:space="0" w:color="auto"/>
                    <w:right w:val="none" w:sz="0" w:space="0" w:color="auto"/>
                  </w:divBdr>
                </w:div>
                <w:div w:id="1117721609">
                  <w:marLeft w:val="0"/>
                  <w:marRight w:val="0"/>
                  <w:marTop w:val="0"/>
                  <w:marBottom w:val="0"/>
                  <w:divBdr>
                    <w:top w:val="none" w:sz="0" w:space="0" w:color="auto"/>
                    <w:left w:val="none" w:sz="0" w:space="0" w:color="auto"/>
                    <w:bottom w:val="none" w:sz="0" w:space="0" w:color="auto"/>
                    <w:right w:val="none" w:sz="0" w:space="0" w:color="auto"/>
                  </w:divBdr>
                </w:div>
                <w:div w:id="1480079103">
                  <w:marLeft w:val="0"/>
                  <w:marRight w:val="0"/>
                  <w:marTop w:val="0"/>
                  <w:marBottom w:val="0"/>
                  <w:divBdr>
                    <w:top w:val="none" w:sz="0" w:space="0" w:color="auto"/>
                    <w:left w:val="none" w:sz="0" w:space="0" w:color="auto"/>
                    <w:bottom w:val="none" w:sz="0" w:space="0" w:color="auto"/>
                    <w:right w:val="none" w:sz="0" w:space="0" w:color="auto"/>
                  </w:divBdr>
                  <w:divsChild>
                    <w:div w:id="85211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2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16\!podklady\TabulkaVzo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16\!podklady\TabulkaVzor.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16\!podklady\Obyvatelstvo.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filipr\Local%20documents\Events\20110600%20NIDM\TabulkaVzo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1"/>
          <c:tx>
            <c:strRef>
              <c:f>kurzovylistekrok2010!$B$1</c:f>
              <c:strCache>
                <c:ptCount val="1"/>
                <c:pt idx="0">
                  <c:v>1 AUD</c:v>
                </c:pt>
              </c:strCache>
            </c:strRef>
          </c:tx>
          <c:cat>
            <c:numRef>
              <c:f>kurzovylistekrok2010!$A$3:$A$22</c:f>
              <c:numCache>
                <c:formatCode>[$-405]d\.\ mmmm\ yyyy;@</c:formatCode>
                <c:ptCount val="20"/>
                <c:pt idx="0">
                  <c:v>40182</c:v>
                </c:pt>
                <c:pt idx="1">
                  <c:v>40183</c:v>
                </c:pt>
                <c:pt idx="2">
                  <c:v>40184</c:v>
                </c:pt>
                <c:pt idx="3">
                  <c:v>40185</c:v>
                </c:pt>
                <c:pt idx="4">
                  <c:v>40186</c:v>
                </c:pt>
                <c:pt idx="5">
                  <c:v>40189</c:v>
                </c:pt>
                <c:pt idx="6">
                  <c:v>40190</c:v>
                </c:pt>
                <c:pt idx="7">
                  <c:v>40191</c:v>
                </c:pt>
                <c:pt idx="8">
                  <c:v>40192</c:v>
                </c:pt>
                <c:pt idx="9">
                  <c:v>40193</c:v>
                </c:pt>
                <c:pt idx="10">
                  <c:v>40196</c:v>
                </c:pt>
                <c:pt idx="11">
                  <c:v>40197</c:v>
                </c:pt>
                <c:pt idx="12">
                  <c:v>40198</c:v>
                </c:pt>
                <c:pt idx="13">
                  <c:v>40199</c:v>
                </c:pt>
                <c:pt idx="14">
                  <c:v>40200</c:v>
                </c:pt>
                <c:pt idx="15">
                  <c:v>40203</c:v>
                </c:pt>
                <c:pt idx="16">
                  <c:v>40204</c:v>
                </c:pt>
                <c:pt idx="17">
                  <c:v>40205</c:v>
                </c:pt>
                <c:pt idx="18">
                  <c:v>40206</c:v>
                </c:pt>
                <c:pt idx="19">
                  <c:v>40207</c:v>
                </c:pt>
              </c:numCache>
            </c:numRef>
          </c:cat>
          <c:val>
            <c:numRef>
              <c:f>kurzovylistekrok2010!$B$3:$B$22</c:f>
              <c:numCache>
                <c:formatCode>_([$CZK]\ * #,##0.000_);_([$CZK]\ * \(#,##0.000\);_([$CZK]\ * "-"???_);_(@_)</c:formatCode>
                <c:ptCount val="20"/>
                <c:pt idx="0">
                  <c:v>16.558</c:v>
                </c:pt>
                <c:pt idx="1">
                  <c:v>16.632999999999999</c:v>
                </c:pt>
                <c:pt idx="2">
                  <c:v>16.795000000000002</c:v>
                </c:pt>
                <c:pt idx="3">
                  <c:v>16.893000000000001</c:v>
                </c:pt>
                <c:pt idx="4">
                  <c:v>16.853999999999999</c:v>
                </c:pt>
                <c:pt idx="5">
                  <c:v>16.800999999999995</c:v>
                </c:pt>
                <c:pt idx="6">
                  <c:v>16.757999999999999</c:v>
                </c:pt>
                <c:pt idx="7">
                  <c:v>16.637000000000004</c:v>
                </c:pt>
                <c:pt idx="8">
                  <c:v>16.706</c:v>
                </c:pt>
                <c:pt idx="9">
                  <c:v>16.675999999999995</c:v>
                </c:pt>
                <c:pt idx="10">
                  <c:v>16.698</c:v>
                </c:pt>
                <c:pt idx="11">
                  <c:v>16.667999999999999</c:v>
                </c:pt>
                <c:pt idx="12">
                  <c:v>16.741</c:v>
                </c:pt>
                <c:pt idx="13">
                  <c:v>16.800999999999995</c:v>
                </c:pt>
                <c:pt idx="14">
                  <c:v>16.721999999999998</c:v>
                </c:pt>
                <c:pt idx="15">
                  <c:v>16.635000000000005</c:v>
                </c:pt>
                <c:pt idx="16">
                  <c:v>16.632999999999999</c:v>
                </c:pt>
                <c:pt idx="17">
                  <c:v>16.68</c:v>
                </c:pt>
                <c:pt idx="18">
                  <c:v>16.89</c:v>
                </c:pt>
                <c:pt idx="19">
                  <c:v>16.773</c:v>
                </c:pt>
              </c:numCache>
            </c:numRef>
          </c:val>
        </c:ser>
        <c:ser>
          <c:idx val="1"/>
          <c:order val="0"/>
          <c:tx>
            <c:strRef>
              <c:f>kurzovylistekrok2010!$H$1</c:f>
              <c:strCache>
                <c:ptCount val="1"/>
                <c:pt idx="0">
                  <c:v>1 DKK</c:v>
                </c:pt>
              </c:strCache>
            </c:strRef>
          </c:tx>
          <c:cat>
            <c:numRef>
              <c:f>kurzovylistekrok2010!$A$3:$A$22</c:f>
              <c:numCache>
                <c:formatCode>[$-405]d\.\ mmmm\ yyyy;@</c:formatCode>
                <c:ptCount val="20"/>
                <c:pt idx="0">
                  <c:v>40182</c:v>
                </c:pt>
                <c:pt idx="1">
                  <c:v>40183</c:v>
                </c:pt>
                <c:pt idx="2">
                  <c:v>40184</c:v>
                </c:pt>
                <c:pt idx="3">
                  <c:v>40185</c:v>
                </c:pt>
                <c:pt idx="4">
                  <c:v>40186</c:v>
                </c:pt>
                <c:pt idx="5">
                  <c:v>40189</c:v>
                </c:pt>
                <c:pt idx="6">
                  <c:v>40190</c:v>
                </c:pt>
                <c:pt idx="7">
                  <c:v>40191</c:v>
                </c:pt>
                <c:pt idx="8">
                  <c:v>40192</c:v>
                </c:pt>
                <c:pt idx="9">
                  <c:v>40193</c:v>
                </c:pt>
                <c:pt idx="10">
                  <c:v>40196</c:v>
                </c:pt>
                <c:pt idx="11">
                  <c:v>40197</c:v>
                </c:pt>
                <c:pt idx="12">
                  <c:v>40198</c:v>
                </c:pt>
                <c:pt idx="13">
                  <c:v>40199</c:v>
                </c:pt>
                <c:pt idx="14">
                  <c:v>40200</c:v>
                </c:pt>
                <c:pt idx="15">
                  <c:v>40203</c:v>
                </c:pt>
                <c:pt idx="16">
                  <c:v>40204</c:v>
                </c:pt>
                <c:pt idx="17">
                  <c:v>40205</c:v>
                </c:pt>
                <c:pt idx="18">
                  <c:v>40206</c:v>
                </c:pt>
                <c:pt idx="19">
                  <c:v>40207</c:v>
                </c:pt>
              </c:numCache>
            </c:numRef>
          </c:cat>
          <c:val>
            <c:numRef>
              <c:f>kurzovylistekrok2010!$H$3:$H$22</c:f>
              <c:numCache>
                <c:formatCode>_([$CZK]\ * #,##0.000_);_([$CZK]\ * \(#,##0.000\);_([$CZK]\ * "-"???_);_(@_)</c:formatCode>
                <c:ptCount val="20"/>
                <c:pt idx="0">
                  <c:v>3.5339999999999998</c:v>
                </c:pt>
                <c:pt idx="1">
                  <c:v>3.5249999999999999</c:v>
                </c:pt>
                <c:pt idx="2">
                  <c:v>3.5409999999999999</c:v>
                </c:pt>
                <c:pt idx="3">
                  <c:v>3.544</c:v>
                </c:pt>
                <c:pt idx="4">
                  <c:v>3.5369999999999995</c:v>
                </c:pt>
                <c:pt idx="5">
                  <c:v>3.52</c:v>
                </c:pt>
                <c:pt idx="6">
                  <c:v>3.53</c:v>
                </c:pt>
                <c:pt idx="7">
                  <c:v>3.5169999999999995</c:v>
                </c:pt>
                <c:pt idx="8">
                  <c:v>3.5009999999999999</c:v>
                </c:pt>
                <c:pt idx="9">
                  <c:v>3.4849999999999999</c:v>
                </c:pt>
                <c:pt idx="10">
                  <c:v>3.48</c:v>
                </c:pt>
                <c:pt idx="11">
                  <c:v>3.4809999999999999</c:v>
                </c:pt>
                <c:pt idx="12">
                  <c:v>3.4789999999999996</c:v>
                </c:pt>
                <c:pt idx="13">
                  <c:v>3.4909999999999997</c:v>
                </c:pt>
                <c:pt idx="14">
                  <c:v>3.5169999999999995</c:v>
                </c:pt>
                <c:pt idx="15">
                  <c:v>3.4939999999999998</c:v>
                </c:pt>
                <c:pt idx="16">
                  <c:v>3.5059999999999998</c:v>
                </c:pt>
                <c:pt idx="17">
                  <c:v>3.508</c:v>
                </c:pt>
                <c:pt idx="18">
                  <c:v>3.524</c:v>
                </c:pt>
                <c:pt idx="19">
                  <c:v>3.5230000000000001</c:v>
                </c:pt>
              </c:numCache>
            </c:numRef>
          </c:val>
        </c:ser>
        <c:marker val="1"/>
        <c:axId val="114637824"/>
        <c:axId val="114656384"/>
      </c:lineChart>
      <c:dateAx>
        <c:axId val="114637824"/>
        <c:scaling>
          <c:orientation val="minMax"/>
        </c:scaling>
        <c:axPos val="b"/>
        <c:numFmt formatCode="[$-405]d\.\ mmmm\ yyyy;@" sourceLinked="1"/>
        <c:majorTickMark val="none"/>
        <c:tickLblPos val="nextTo"/>
        <c:crossAx val="114656384"/>
        <c:crosses val="autoZero"/>
        <c:auto val="1"/>
        <c:lblOffset val="100"/>
      </c:dateAx>
      <c:valAx>
        <c:axId val="114656384"/>
        <c:scaling>
          <c:orientation val="minMax"/>
        </c:scaling>
        <c:axPos val="l"/>
        <c:majorGridlines/>
        <c:title/>
        <c:numFmt formatCode="_([$CZK]\ * #,##0.000_);_([$CZK]\ * \(#,##0.000\);_([$CZK]\ * &quot;-&quot;???_);_(@_)" sourceLinked="1"/>
        <c:majorTickMark val="none"/>
        <c:tickLblPos val="nextTo"/>
        <c:crossAx val="114637824"/>
        <c:crosses val="autoZero"/>
        <c:crossBetween val="between"/>
      </c:valAx>
    </c:plotArea>
    <c:legend>
      <c:legendPos val="r"/>
    </c:legend>
    <c:plotVisOnly val="1"/>
    <c:dispBlanksAs val="span"/>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cs-CZ"/>
  <c:chart>
    <c:title/>
    <c:plotArea>
      <c:layout/>
      <c:lineChart>
        <c:grouping val="standard"/>
        <c:ser>
          <c:idx val="0"/>
          <c:order val="0"/>
          <c:tx>
            <c:strRef>
              <c:f>kurzovylistekrok2010!$B$1</c:f>
              <c:strCache>
                <c:ptCount val="1"/>
                <c:pt idx="0">
                  <c:v>1 AUD</c:v>
                </c:pt>
              </c:strCache>
            </c:strRef>
          </c:tx>
          <c:trendline>
            <c:trendlineType val="linear"/>
          </c:trendline>
          <c:val>
            <c:numRef>
              <c:f>kurzovylistekrok2010!$B$3:$B$255</c:f>
              <c:numCache>
                <c:formatCode>_([$CZK]\ * #,##0.000_);_([$CZK]\ * \(#,##0.000\);_([$CZK]\ * "-"???_);_(@_)</c:formatCode>
                <c:ptCount val="253"/>
                <c:pt idx="0">
                  <c:v>16.558</c:v>
                </c:pt>
                <c:pt idx="1">
                  <c:v>16.632999999999999</c:v>
                </c:pt>
                <c:pt idx="2">
                  <c:v>16.795000000000002</c:v>
                </c:pt>
                <c:pt idx="3">
                  <c:v>16.893000000000001</c:v>
                </c:pt>
                <c:pt idx="4">
                  <c:v>16.853999999999999</c:v>
                </c:pt>
                <c:pt idx="5">
                  <c:v>16.800999999999995</c:v>
                </c:pt>
                <c:pt idx="6">
                  <c:v>16.757999999999999</c:v>
                </c:pt>
                <c:pt idx="7">
                  <c:v>16.637000000000004</c:v>
                </c:pt>
                <c:pt idx="8">
                  <c:v>16.706</c:v>
                </c:pt>
                <c:pt idx="9">
                  <c:v>16.675999999999995</c:v>
                </c:pt>
                <c:pt idx="10">
                  <c:v>16.698</c:v>
                </c:pt>
                <c:pt idx="11">
                  <c:v>16.667999999999999</c:v>
                </c:pt>
                <c:pt idx="12">
                  <c:v>16.741</c:v>
                </c:pt>
                <c:pt idx="13">
                  <c:v>16.800999999999995</c:v>
                </c:pt>
                <c:pt idx="14">
                  <c:v>16.721999999999998</c:v>
                </c:pt>
                <c:pt idx="15">
                  <c:v>16.635000000000005</c:v>
                </c:pt>
                <c:pt idx="16">
                  <c:v>16.632999999999999</c:v>
                </c:pt>
                <c:pt idx="17">
                  <c:v>16.68</c:v>
                </c:pt>
                <c:pt idx="18">
                  <c:v>16.89</c:v>
                </c:pt>
                <c:pt idx="19">
                  <c:v>16.773</c:v>
                </c:pt>
                <c:pt idx="20">
                  <c:v>16.550999999999995</c:v>
                </c:pt>
                <c:pt idx="21">
                  <c:v>16.441999999999997</c:v>
                </c:pt>
                <c:pt idx="22">
                  <c:v>16.515999999999995</c:v>
                </c:pt>
                <c:pt idx="23">
                  <c:v>16.611999999999998</c:v>
                </c:pt>
                <c:pt idx="24">
                  <c:v>16.545000000000002</c:v>
                </c:pt>
                <c:pt idx="25">
                  <c:v>16.594000000000001</c:v>
                </c:pt>
                <c:pt idx="26">
                  <c:v>16.587999999999997</c:v>
                </c:pt>
                <c:pt idx="27">
                  <c:v>16.628</c:v>
                </c:pt>
                <c:pt idx="28">
                  <c:v>16.832999999999995</c:v>
                </c:pt>
                <c:pt idx="29">
                  <c:v>16.931999999999999</c:v>
                </c:pt>
                <c:pt idx="30">
                  <c:v>16.992999999999995</c:v>
                </c:pt>
                <c:pt idx="31">
                  <c:v>17.088999999999995</c:v>
                </c:pt>
                <c:pt idx="32">
                  <c:v>17.067999999999998</c:v>
                </c:pt>
                <c:pt idx="33">
                  <c:v>17.013000000000005</c:v>
                </c:pt>
                <c:pt idx="34">
                  <c:v>16.984000000000002</c:v>
                </c:pt>
                <c:pt idx="35">
                  <c:v>17.042999999999996</c:v>
                </c:pt>
                <c:pt idx="36">
                  <c:v>17.117000000000004</c:v>
                </c:pt>
                <c:pt idx="37">
                  <c:v>17.032</c:v>
                </c:pt>
                <c:pt idx="38">
                  <c:v>17.077000000000005</c:v>
                </c:pt>
                <c:pt idx="39">
                  <c:v>17.035</c:v>
                </c:pt>
                <c:pt idx="40">
                  <c:v>17.164000000000001</c:v>
                </c:pt>
                <c:pt idx="41">
                  <c:v>17.183</c:v>
                </c:pt>
                <c:pt idx="42">
                  <c:v>17.042999999999996</c:v>
                </c:pt>
                <c:pt idx="43">
                  <c:v>17.045999999999996</c:v>
                </c:pt>
                <c:pt idx="44">
                  <c:v>17.132000000000001</c:v>
                </c:pt>
                <c:pt idx="45">
                  <c:v>17.079999999999995</c:v>
                </c:pt>
                <c:pt idx="46">
                  <c:v>17.184999999999999</c:v>
                </c:pt>
                <c:pt idx="47">
                  <c:v>17.244</c:v>
                </c:pt>
                <c:pt idx="48">
                  <c:v>17.134000000000004</c:v>
                </c:pt>
                <c:pt idx="49">
                  <c:v>17.021999999999995</c:v>
                </c:pt>
                <c:pt idx="50">
                  <c:v>16.966999999999995</c:v>
                </c:pt>
                <c:pt idx="51">
                  <c:v>16.994</c:v>
                </c:pt>
                <c:pt idx="52">
                  <c:v>17.047999999999995</c:v>
                </c:pt>
                <c:pt idx="53">
                  <c:v>17.056000000000001</c:v>
                </c:pt>
                <c:pt idx="54">
                  <c:v>17.221</c:v>
                </c:pt>
                <c:pt idx="55">
                  <c:v>17.184000000000001</c:v>
                </c:pt>
                <c:pt idx="56">
                  <c:v>17.267999999999997</c:v>
                </c:pt>
                <c:pt idx="57">
                  <c:v>17.312999999999999</c:v>
                </c:pt>
                <c:pt idx="58">
                  <c:v>17.346</c:v>
                </c:pt>
                <c:pt idx="59">
                  <c:v>17.202000000000002</c:v>
                </c:pt>
                <c:pt idx="60">
                  <c:v>17.265999999999991</c:v>
                </c:pt>
                <c:pt idx="61">
                  <c:v>17.361999999999995</c:v>
                </c:pt>
                <c:pt idx="62">
                  <c:v>17.254000000000001</c:v>
                </c:pt>
                <c:pt idx="63">
                  <c:v>17.286999999999995</c:v>
                </c:pt>
                <c:pt idx="64">
                  <c:v>17.215</c:v>
                </c:pt>
                <c:pt idx="65">
                  <c:v>17.420999999999996</c:v>
                </c:pt>
                <c:pt idx="66">
                  <c:v>17.513999999999999</c:v>
                </c:pt>
                <c:pt idx="67">
                  <c:v>17.5</c:v>
                </c:pt>
                <c:pt idx="68">
                  <c:v>17.545000000000002</c:v>
                </c:pt>
                <c:pt idx="69">
                  <c:v>17.181999999999999</c:v>
                </c:pt>
                <c:pt idx="70">
                  <c:v>17.177000000000003</c:v>
                </c:pt>
                <c:pt idx="71">
                  <c:v>17.170999999999999</c:v>
                </c:pt>
                <c:pt idx="72">
                  <c:v>17.284999999999997</c:v>
                </c:pt>
                <c:pt idx="73">
                  <c:v>17.338999999999999</c:v>
                </c:pt>
                <c:pt idx="74">
                  <c:v>17.260999999999996</c:v>
                </c:pt>
                <c:pt idx="75">
                  <c:v>17.475999999999996</c:v>
                </c:pt>
                <c:pt idx="76">
                  <c:v>17.571000000000005</c:v>
                </c:pt>
                <c:pt idx="77">
                  <c:v>17.626999999999999</c:v>
                </c:pt>
                <c:pt idx="78">
                  <c:v>17.561</c:v>
                </c:pt>
                <c:pt idx="79">
                  <c:v>17.739000000000001</c:v>
                </c:pt>
                <c:pt idx="80">
                  <c:v>17.721</c:v>
                </c:pt>
                <c:pt idx="81">
                  <c:v>17.82</c:v>
                </c:pt>
                <c:pt idx="82">
                  <c:v>17.899999999999999</c:v>
                </c:pt>
                <c:pt idx="83">
                  <c:v>17.896999999999995</c:v>
                </c:pt>
                <c:pt idx="84">
                  <c:v>17.881999999999998</c:v>
                </c:pt>
                <c:pt idx="85">
                  <c:v>17.984000000000002</c:v>
                </c:pt>
                <c:pt idx="86">
                  <c:v>18.158999999999999</c:v>
                </c:pt>
                <c:pt idx="87">
                  <c:v>18.479999999999997</c:v>
                </c:pt>
                <c:pt idx="88">
                  <c:v>18.094999999999999</c:v>
                </c:pt>
                <c:pt idx="89">
                  <c:v>17.89</c:v>
                </c:pt>
                <c:pt idx="90">
                  <c:v>18.018000000000001</c:v>
                </c:pt>
                <c:pt idx="91">
                  <c:v>17.949000000000002</c:v>
                </c:pt>
                <c:pt idx="92">
                  <c:v>18.141999999999999</c:v>
                </c:pt>
                <c:pt idx="93">
                  <c:v>18.167999999999999</c:v>
                </c:pt>
                <c:pt idx="94">
                  <c:v>18.216000000000001</c:v>
                </c:pt>
                <c:pt idx="95">
                  <c:v>17.962999999999997</c:v>
                </c:pt>
                <c:pt idx="96">
                  <c:v>17.774000000000001</c:v>
                </c:pt>
                <c:pt idx="97">
                  <c:v>17.369</c:v>
                </c:pt>
                <c:pt idx="98">
                  <c:v>17.120999999999999</c:v>
                </c:pt>
                <c:pt idx="99">
                  <c:v>17.181999999999999</c:v>
                </c:pt>
                <c:pt idx="100">
                  <c:v>17.047000000000001</c:v>
                </c:pt>
                <c:pt idx="101">
                  <c:v>17.29</c:v>
                </c:pt>
                <c:pt idx="102">
                  <c:v>17.526</c:v>
                </c:pt>
                <c:pt idx="103">
                  <c:v>17.744</c:v>
                </c:pt>
                <c:pt idx="104">
                  <c:v>17.501999999999999</c:v>
                </c:pt>
                <c:pt idx="105">
                  <c:v>17.561999999999998</c:v>
                </c:pt>
                <c:pt idx="106">
                  <c:v>17.62</c:v>
                </c:pt>
                <c:pt idx="107">
                  <c:v>17.806999999999999</c:v>
                </c:pt>
                <c:pt idx="108">
                  <c:v>18.119000000000003</c:v>
                </c:pt>
                <c:pt idx="109">
                  <c:v>17.721</c:v>
                </c:pt>
                <c:pt idx="110">
                  <c:v>17.783999999999995</c:v>
                </c:pt>
                <c:pt idx="111">
                  <c:v>17.888000000000002</c:v>
                </c:pt>
                <c:pt idx="112">
                  <c:v>18.138000000000005</c:v>
                </c:pt>
                <c:pt idx="113">
                  <c:v>17.974</c:v>
                </c:pt>
                <c:pt idx="114">
                  <c:v>18.058</c:v>
                </c:pt>
                <c:pt idx="115">
                  <c:v>17.954000000000001</c:v>
                </c:pt>
                <c:pt idx="116">
                  <c:v>18.05</c:v>
                </c:pt>
                <c:pt idx="117">
                  <c:v>17.997999999999998</c:v>
                </c:pt>
                <c:pt idx="118">
                  <c:v>18.061999999999998</c:v>
                </c:pt>
                <c:pt idx="119">
                  <c:v>18.363</c:v>
                </c:pt>
                <c:pt idx="120">
                  <c:v>18.402999999999995</c:v>
                </c:pt>
                <c:pt idx="121">
                  <c:v>18.300999999999995</c:v>
                </c:pt>
                <c:pt idx="122">
                  <c:v>18.178000000000001</c:v>
                </c:pt>
                <c:pt idx="123">
                  <c:v>18.145</c:v>
                </c:pt>
                <c:pt idx="124">
                  <c:v>18.23</c:v>
                </c:pt>
                <c:pt idx="125">
                  <c:v>18.068999999999996</c:v>
                </c:pt>
                <c:pt idx="126">
                  <c:v>17.815000000000001</c:v>
                </c:pt>
                <c:pt idx="127">
                  <c:v>17.461999999999996</c:v>
                </c:pt>
                <c:pt idx="128">
                  <c:v>17.318000000000001</c:v>
                </c:pt>
                <c:pt idx="129">
                  <c:v>17.244</c:v>
                </c:pt>
                <c:pt idx="130">
                  <c:v>17.581999999999997</c:v>
                </c:pt>
                <c:pt idx="131">
                  <c:v>17.548999999999996</c:v>
                </c:pt>
                <c:pt idx="132">
                  <c:v>17.59</c:v>
                </c:pt>
                <c:pt idx="133">
                  <c:v>17.681000000000001</c:v>
                </c:pt>
                <c:pt idx="134">
                  <c:v>17.672000000000001</c:v>
                </c:pt>
                <c:pt idx="135">
                  <c:v>17.559000000000001</c:v>
                </c:pt>
                <c:pt idx="136">
                  <c:v>17.167999999999999</c:v>
                </c:pt>
                <c:pt idx="137">
                  <c:v>17.018999999999995</c:v>
                </c:pt>
                <c:pt idx="138">
                  <c:v>17.222999999999995</c:v>
                </c:pt>
                <c:pt idx="139">
                  <c:v>17.494</c:v>
                </c:pt>
                <c:pt idx="140">
                  <c:v>17.393000000000001</c:v>
                </c:pt>
                <c:pt idx="141">
                  <c:v>17.451000000000001</c:v>
                </c:pt>
                <c:pt idx="142">
                  <c:v>17.414999999999999</c:v>
                </c:pt>
                <c:pt idx="143">
                  <c:v>17.436</c:v>
                </c:pt>
                <c:pt idx="144">
                  <c:v>17.210999999999999</c:v>
                </c:pt>
                <c:pt idx="145">
                  <c:v>17.07</c:v>
                </c:pt>
                <c:pt idx="146">
                  <c:v>17.135000000000005</c:v>
                </c:pt>
                <c:pt idx="147">
                  <c:v>17.21</c:v>
                </c:pt>
                <c:pt idx="148">
                  <c:v>17.029</c:v>
                </c:pt>
                <c:pt idx="149">
                  <c:v>17.132000000000001</c:v>
                </c:pt>
                <c:pt idx="150">
                  <c:v>17.161000000000001</c:v>
                </c:pt>
                <c:pt idx="151">
                  <c:v>17.244</c:v>
                </c:pt>
                <c:pt idx="152">
                  <c:v>17.177000000000003</c:v>
                </c:pt>
                <c:pt idx="153">
                  <c:v>17.123000000000001</c:v>
                </c:pt>
                <c:pt idx="154">
                  <c:v>17.227</c:v>
                </c:pt>
                <c:pt idx="155">
                  <c:v>17.37</c:v>
                </c:pt>
                <c:pt idx="156">
                  <c:v>17.427999999999997</c:v>
                </c:pt>
                <c:pt idx="157">
                  <c:v>17.286999999999995</c:v>
                </c:pt>
                <c:pt idx="158">
                  <c:v>17.41</c:v>
                </c:pt>
                <c:pt idx="159">
                  <c:v>17.388999999999996</c:v>
                </c:pt>
                <c:pt idx="160">
                  <c:v>17.393000000000001</c:v>
                </c:pt>
                <c:pt idx="161">
                  <c:v>17.324000000000005</c:v>
                </c:pt>
                <c:pt idx="162">
                  <c:v>17.491</c:v>
                </c:pt>
                <c:pt idx="163">
                  <c:v>17.405999999999995</c:v>
                </c:pt>
                <c:pt idx="164">
                  <c:v>17.364999999999995</c:v>
                </c:pt>
                <c:pt idx="165">
                  <c:v>17.36</c:v>
                </c:pt>
                <c:pt idx="166">
                  <c:v>17.29</c:v>
                </c:pt>
                <c:pt idx="167">
                  <c:v>17.515999999999995</c:v>
                </c:pt>
                <c:pt idx="168">
                  <c:v>17.37</c:v>
                </c:pt>
                <c:pt idx="169">
                  <c:v>17.474</c:v>
                </c:pt>
                <c:pt idx="170">
                  <c:v>17.523</c:v>
                </c:pt>
                <c:pt idx="171">
                  <c:v>17.521000000000001</c:v>
                </c:pt>
                <c:pt idx="172">
                  <c:v>17.608000000000001</c:v>
                </c:pt>
                <c:pt idx="173">
                  <c:v>17.687999999999999</c:v>
                </c:pt>
                <c:pt idx="174">
                  <c:v>17.847999999999999</c:v>
                </c:pt>
                <c:pt idx="175">
                  <c:v>17.951000000000001</c:v>
                </c:pt>
                <c:pt idx="176">
                  <c:v>17.954000000000001</c:v>
                </c:pt>
                <c:pt idx="177">
                  <c:v>17.962999999999997</c:v>
                </c:pt>
                <c:pt idx="178">
                  <c:v>17.846</c:v>
                </c:pt>
                <c:pt idx="179">
                  <c:v>17.759</c:v>
                </c:pt>
                <c:pt idx="180">
                  <c:v>17.632999999999999</c:v>
                </c:pt>
                <c:pt idx="181">
                  <c:v>17.773</c:v>
                </c:pt>
                <c:pt idx="182">
                  <c:v>17.841999999999999</c:v>
                </c:pt>
                <c:pt idx="183">
                  <c:v>17.802</c:v>
                </c:pt>
                <c:pt idx="184">
                  <c:v>17.576000000000001</c:v>
                </c:pt>
                <c:pt idx="185">
                  <c:v>17.515000000000001</c:v>
                </c:pt>
                <c:pt idx="186">
                  <c:v>17.539000000000001</c:v>
                </c:pt>
                <c:pt idx="187">
                  <c:v>17.521999999999995</c:v>
                </c:pt>
                <c:pt idx="188">
                  <c:v>17.552</c:v>
                </c:pt>
                <c:pt idx="189">
                  <c:v>17.486999999999991</c:v>
                </c:pt>
                <c:pt idx="190">
                  <c:v>17.306000000000001</c:v>
                </c:pt>
                <c:pt idx="191">
                  <c:v>17.285999999999998</c:v>
                </c:pt>
                <c:pt idx="192">
                  <c:v>17.084999999999997</c:v>
                </c:pt>
                <c:pt idx="193">
                  <c:v>17.247</c:v>
                </c:pt>
                <c:pt idx="194">
                  <c:v>17.338000000000001</c:v>
                </c:pt>
                <c:pt idx="195">
                  <c:v>17.184999999999999</c:v>
                </c:pt>
                <c:pt idx="196">
                  <c:v>17.338999999999999</c:v>
                </c:pt>
                <c:pt idx="197">
                  <c:v>17.421999999999997</c:v>
                </c:pt>
                <c:pt idx="198">
                  <c:v>17.315999999999999</c:v>
                </c:pt>
                <c:pt idx="199">
                  <c:v>17.274999999999999</c:v>
                </c:pt>
                <c:pt idx="200">
                  <c:v>17.315999999999999</c:v>
                </c:pt>
                <c:pt idx="201">
                  <c:v>17.417000000000005</c:v>
                </c:pt>
                <c:pt idx="202">
                  <c:v>17.32</c:v>
                </c:pt>
                <c:pt idx="203">
                  <c:v>17.311000000000003</c:v>
                </c:pt>
                <c:pt idx="204">
                  <c:v>17.274999999999999</c:v>
                </c:pt>
                <c:pt idx="205">
                  <c:v>17.347000000000001</c:v>
                </c:pt>
                <c:pt idx="206">
                  <c:v>17.373999999999999</c:v>
                </c:pt>
                <c:pt idx="207">
                  <c:v>17.454999999999995</c:v>
                </c:pt>
                <c:pt idx="208">
                  <c:v>17.372</c:v>
                </c:pt>
                <c:pt idx="209">
                  <c:v>17.303999999999995</c:v>
                </c:pt>
                <c:pt idx="210">
                  <c:v>17.407</c:v>
                </c:pt>
                <c:pt idx="211">
                  <c:v>17.472999999999995</c:v>
                </c:pt>
                <c:pt idx="212">
                  <c:v>17.427999999999997</c:v>
                </c:pt>
                <c:pt idx="213">
                  <c:v>17.359000000000005</c:v>
                </c:pt>
                <c:pt idx="214">
                  <c:v>17.734999999999999</c:v>
                </c:pt>
                <c:pt idx="215">
                  <c:v>17.846</c:v>
                </c:pt>
                <c:pt idx="216">
                  <c:v>17.908999999999995</c:v>
                </c:pt>
                <c:pt idx="217">
                  <c:v>17.878</c:v>
                </c:pt>
                <c:pt idx="218">
                  <c:v>18.004000000000001</c:v>
                </c:pt>
                <c:pt idx="219">
                  <c:v>17.797999999999995</c:v>
                </c:pt>
                <c:pt idx="220">
                  <c:v>17.82</c:v>
                </c:pt>
                <c:pt idx="221">
                  <c:v>17.739999999999995</c:v>
                </c:pt>
                <c:pt idx="222">
                  <c:v>17.847000000000001</c:v>
                </c:pt>
                <c:pt idx="223">
                  <c:v>17.768999999999991</c:v>
                </c:pt>
                <c:pt idx="224">
                  <c:v>17.873999999999999</c:v>
                </c:pt>
                <c:pt idx="225">
                  <c:v>17.905999999999995</c:v>
                </c:pt>
                <c:pt idx="226">
                  <c:v>18.114999999999998</c:v>
                </c:pt>
                <c:pt idx="227">
                  <c:v>18.184999999999999</c:v>
                </c:pt>
                <c:pt idx="228">
                  <c:v>18.030999999999999</c:v>
                </c:pt>
                <c:pt idx="229">
                  <c:v>18.123999999999999</c:v>
                </c:pt>
                <c:pt idx="230">
                  <c:v>18.324999999999999</c:v>
                </c:pt>
                <c:pt idx="231">
                  <c:v>18.344999999999999</c:v>
                </c:pt>
                <c:pt idx="232">
                  <c:v>18.370999999999999</c:v>
                </c:pt>
                <c:pt idx="233">
                  <c:v>18.518000000000001</c:v>
                </c:pt>
                <c:pt idx="234">
                  <c:v>18.613000000000003</c:v>
                </c:pt>
                <c:pt idx="235">
                  <c:v>18.678999999999995</c:v>
                </c:pt>
                <c:pt idx="236">
                  <c:v>18.611999999999998</c:v>
                </c:pt>
                <c:pt idx="237">
                  <c:v>18.667000000000005</c:v>
                </c:pt>
                <c:pt idx="238">
                  <c:v>18.779</c:v>
                </c:pt>
                <c:pt idx="239">
                  <c:v>18.797000000000001</c:v>
                </c:pt>
                <c:pt idx="240">
                  <c:v>18.734000000000005</c:v>
                </c:pt>
                <c:pt idx="241">
                  <c:v>18.721999999999998</c:v>
                </c:pt>
                <c:pt idx="242">
                  <c:v>18.808</c:v>
                </c:pt>
                <c:pt idx="243">
                  <c:v>18.784999999999997</c:v>
                </c:pt>
                <c:pt idx="244">
                  <c:v>19.099</c:v>
                </c:pt>
                <c:pt idx="245">
                  <c:v>19.154000000000003</c:v>
                </c:pt>
                <c:pt idx="246">
                  <c:v>19.231999999999999</c:v>
                </c:pt>
                <c:pt idx="247">
                  <c:v>19.390999999999995</c:v>
                </c:pt>
                <c:pt idx="248">
                  <c:v>19.324000000000005</c:v>
                </c:pt>
                <c:pt idx="249">
                  <c:v>19.451000000000001</c:v>
                </c:pt>
                <c:pt idx="250">
                  <c:v>19.468999999999998</c:v>
                </c:pt>
                <c:pt idx="251">
                  <c:v>19.286999999999995</c:v>
                </c:pt>
                <c:pt idx="252">
                  <c:v>19.079999999999995</c:v>
                </c:pt>
              </c:numCache>
            </c:numRef>
          </c:val>
        </c:ser>
        <c:marker val="1"/>
        <c:axId val="115182208"/>
        <c:axId val="115319168"/>
      </c:lineChart>
      <c:catAx>
        <c:axId val="115182208"/>
        <c:scaling>
          <c:orientation val="minMax"/>
        </c:scaling>
        <c:axPos val="b"/>
        <c:numFmt formatCode="[$-405]d\.\ mmmm\ yyyy;@" sourceLinked="1"/>
        <c:majorTickMark val="none"/>
        <c:tickLblPos val="nextTo"/>
        <c:crossAx val="115319168"/>
        <c:crosses val="autoZero"/>
        <c:auto val="1"/>
        <c:lblAlgn val="ctr"/>
        <c:lblOffset val="100"/>
      </c:catAx>
      <c:valAx>
        <c:axId val="115319168"/>
        <c:scaling>
          <c:orientation val="minMax"/>
        </c:scaling>
        <c:axPos val="l"/>
        <c:majorGridlines/>
        <c:numFmt formatCode="_([$CZK]\ * #,##0.000_);_([$CZK]\ * \(#,##0.000\);_([$CZK]\ * &quot;-&quot;???_);_(@_)" sourceLinked="1"/>
        <c:majorTickMark val="none"/>
        <c:tickLblPos val="nextTo"/>
        <c:spPr>
          <a:ln w="9525">
            <a:noFill/>
          </a:ln>
        </c:spPr>
        <c:crossAx val="115182208"/>
        <c:crosses val="autoZero"/>
        <c:crossBetween val="between"/>
      </c:valAx>
    </c:plotArea>
    <c:legend>
      <c:legendPos val="r"/>
    </c:legend>
    <c:plotVisOnly val="1"/>
  </c:chart>
  <c:spPr>
    <a:ln w="9525"/>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cs-CZ"/>
  <c:chart>
    <c:title/>
    <c:plotArea>
      <c:layout/>
      <c:lineChart>
        <c:grouping val="standard"/>
        <c:ser>
          <c:idx val="0"/>
          <c:order val="0"/>
          <c:tx>
            <c:strRef>
              <c:f>Sheet1!$E$15</c:f>
              <c:strCache>
                <c:ptCount val="1"/>
                <c:pt idx="0">
                  <c:v>Počet obyvatel (v tisících)</c:v>
                </c:pt>
              </c:strCache>
            </c:strRef>
          </c:tx>
          <c:trendline>
            <c:trendlineType val="linear"/>
            <c:forward val="2"/>
          </c:trendline>
          <c:cat>
            <c:numRef>
              <c:f>Sheet1!$F$14:$I$14</c:f>
              <c:numCache>
                <c:formatCode>General</c:formatCode>
                <c:ptCount val="4"/>
                <c:pt idx="0">
                  <c:v>2006</c:v>
                </c:pt>
                <c:pt idx="1">
                  <c:v>2007</c:v>
                </c:pt>
                <c:pt idx="2">
                  <c:v>2008</c:v>
                </c:pt>
                <c:pt idx="3">
                  <c:v>2009</c:v>
                </c:pt>
              </c:numCache>
            </c:numRef>
          </c:cat>
          <c:val>
            <c:numRef>
              <c:f>Sheet1!$F$15:$I$15</c:f>
              <c:numCache>
                <c:formatCode>General</c:formatCode>
                <c:ptCount val="4"/>
                <c:pt idx="0">
                  <c:v>10287</c:v>
                </c:pt>
                <c:pt idx="1">
                  <c:v>10381</c:v>
                </c:pt>
                <c:pt idx="2">
                  <c:v>10468</c:v>
                </c:pt>
                <c:pt idx="3">
                  <c:v>10507</c:v>
                </c:pt>
              </c:numCache>
            </c:numRef>
          </c:val>
        </c:ser>
        <c:marker val="1"/>
        <c:axId val="131150976"/>
        <c:axId val="131195648"/>
      </c:lineChart>
      <c:catAx>
        <c:axId val="131150976"/>
        <c:scaling>
          <c:orientation val="minMax"/>
        </c:scaling>
        <c:axPos val="b"/>
        <c:numFmt formatCode="General" sourceLinked="1"/>
        <c:majorTickMark val="none"/>
        <c:tickLblPos val="nextTo"/>
        <c:crossAx val="131195648"/>
        <c:crosses val="autoZero"/>
        <c:auto val="1"/>
        <c:lblAlgn val="ctr"/>
        <c:lblOffset val="100"/>
      </c:catAx>
      <c:valAx>
        <c:axId val="131195648"/>
        <c:scaling>
          <c:orientation val="minMax"/>
        </c:scaling>
        <c:axPos val="l"/>
        <c:majorGridlines/>
        <c:title/>
        <c:numFmt formatCode="General" sourceLinked="1"/>
        <c:majorTickMark val="none"/>
        <c:tickLblPos val="nextTo"/>
        <c:crossAx val="131150976"/>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title/>
    <c:plotArea>
      <c:layout/>
      <c:lineChart>
        <c:grouping val="standard"/>
        <c:ser>
          <c:idx val="31"/>
          <c:order val="0"/>
          <c:tx>
            <c:strRef>
              <c:f>kurzovylistekrok2010!$AG$1</c:f>
              <c:strCache>
                <c:ptCount val="1"/>
                <c:pt idx="0">
                  <c:v>1 USD</c:v>
                </c:pt>
              </c:strCache>
            </c:strRef>
          </c:tx>
          <c:spPr>
            <a:ln>
              <a:solidFill>
                <a:schemeClr val="tx1"/>
              </a:solidFill>
            </a:ln>
          </c:spPr>
          <c:marker>
            <c:symbol val="none"/>
          </c:marker>
          <c:cat>
            <c:numRef>
              <c:f>kurzovylistekrok2010!$A$3:$A$255</c:f>
              <c:numCache>
                <c:formatCode>[$-405]d\.\ mmmm\ yyyy;@</c:formatCode>
                <c:ptCount val="253"/>
                <c:pt idx="0">
                  <c:v>40182</c:v>
                </c:pt>
                <c:pt idx="1">
                  <c:v>40183</c:v>
                </c:pt>
                <c:pt idx="2">
                  <c:v>40184</c:v>
                </c:pt>
                <c:pt idx="3">
                  <c:v>40185</c:v>
                </c:pt>
                <c:pt idx="4">
                  <c:v>40186</c:v>
                </c:pt>
                <c:pt idx="5">
                  <c:v>40189</c:v>
                </c:pt>
                <c:pt idx="6">
                  <c:v>40190</c:v>
                </c:pt>
                <c:pt idx="7">
                  <c:v>40191</c:v>
                </c:pt>
                <c:pt idx="8">
                  <c:v>40192</c:v>
                </c:pt>
                <c:pt idx="9">
                  <c:v>40193</c:v>
                </c:pt>
                <c:pt idx="10">
                  <c:v>40196</c:v>
                </c:pt>
                <c:pt idx="11">
                  <c:v>40197</c:v>
                </c:pt>
                <c:pt idx="12">
                  <c:v>40198</c:v>
                </c:pt>
                <c:pt idx="13">
                  <c:v>40199</c:v>
                </c:pt>
                <c:pt idx="14">
                  <c:v>40200</c:v>
                </c:pt>
                <c:pt idx="15">
                  <c:v>40203</c:v>
                </c:pt>
                <c:pt idx="16">
                  <c:v>40204</c:v>
                </c:pt>
                <c:pt idx="17">
                  <c:v>40205</c:v>
                </c:pt>
                <c:pt idx="18">
                  <c:v>40206</c:v>
                </c:pt>
                <c:pt idx="19">
                  <c:v>40207</c:v>
                </c:pt>
                <c:pt idx="20">
                  <c:v>40210</c:v>
                </c:pt>
                <c:pt idx="21">
                  <c:v>40211</c:v>
                </c:pt>
                <c:pt idx="22">
                  <c:v>40212</c:v>
                </c:pt>
                <c:pt idx="23">
                  <c:v>40213</c:v>
                </c:pt>
                <c:pt idx="24">
                  <c:v>40214</c:v>
                </c:pt>
                <c:pt idx="25">
                  <c:v>40217</c:v>
                </c:pt>
                <c:pt idx="26">
                  <c:v>40218</c:v>
                </c:pt>
                <c:pt idx="27">
                  <c:v>40219</c:v>
                </c:pt>
                <c:pt idx="28">
                  <c:v>40220</c:v>
                </c:pt>
                <c:pt idx="29">
                  <c:v>40221</c:v>
                </c:pt>
                <c:pt idx="30">
                  <c:v>40224</c:v>
                </c:pt>
                <c:pt idx="31">
                  <c:v>40225</c:v>
                </c:pt>
                <c:pt idx="32">
                  <c:v>40226</c:v>
                </c:pt>
                <c:pt idx="33">
                  <c:v>40227</c:v>
                </c:pt>
                <c:pt idx="34">
                  <c:v>40228</c:v>
                </c:pt>
                <c:pt idx="35">
                  <c:v>40231</c:v>
                </c:pt>
                <c:pt idx="36">
                  <c:v>40232</c:v>
                </c:pt>
                <c:pt idx="37">
                  <c:v>40233</c:v>
                </c:pt>
                <c:pt idx="38">
                  <c:v>40234</c:v>
                </c:pt>
                <c:pt idx="39">
                  <c:v>40235</c:v>
                </c:pt>
                <c:pt idx="40">
                  <c:v>40238</c:v>
                </c:pt>
                <c:pt idx="41">
                  <c:v>40239</c:v>
                </c:pt>
                <c:pt idx="42">
                  <c:v>40240</c:v>
                </c:pt>
                <c:pt idx="43">
                  <c:v>40241</c:v>
                </c:pt>
                <c:pt idx="44">
                  <c:v>40242</c:v>
                </c:pt>
                <c:pt idx="45">
                  <c:v>40245</c:v>
                </c:pt>
                <c:pt idx="46">
                  <c:v>40246</c:v>
                </c:pt>
                <c:pt idx="47">
                  <c:v>40247</c:v>
                </c:pt>
                <c:pt idx="48">
                  <c:v>40248</c:v>
                </c:pt>
                <c:pt idx="49">
                  <c:v>40249</c:v>
                </c:pt>
                <c:pt idx="50">
                  <c:v>40252</c:v>
                </c:pt>
                <c:pt idx="51">
                  <c:v>40253</c:v>
                </c:pt>
                <c:pt idx="52">
                  <c:v>40254</c:v>
                </c:pt>
                <c:pt idx="53">
                  <c:v>40255</c:v>
                </c:pt>
                <c:pt idx="54">
                  <c:v>40256</c:v>
                </c:pt>
                <c:pt idx="55">
                  <c:v>40259</c:v>
                </c:pt>
                <c:pt idx="56">
                  <c:v>40260</c:v>
                </c:pt>
                <c:pt idx="57">
                  <c:v>40261</c:v>
                </c:pt>
                <c:pt idx="58">
                  <c:v>40262</c:v>
                </c:pt>
                <c:pt idx="59">
                  <c:v>40263</c:v>
                </c:pt>
                <c:pt idx="60">
                  <c:v>40266</c:v>
                </c:pt>
                <c:pt idx="61">
                  <c:v>40267</c:v>
                </c:pt>
                <c:pt idx="62">
                  <c:v>40268</c:v>
                </c:pt>
                <c:pt idx="63">
                  <c:v>40269</c:v>
                </c:pt>
                <c:pt idx="64">
                  <c:v>40270</c:v>
                </c:pt>
                <c:pt idx="65">
                  <c:v>40274</c:v>
                </c:pt>
                <c:pt idx="66">
                  <c:v>40275</c:v>
                </c:pt>
                <c:pt idx="67">
                  <c:v>40276</c:v>
                </c:pt>
                <c:pt idx="68">
                  <c:v>40277</c:v>
                </c:pt>
                <c:pt idx="69">
                  <c:v>40280</c:v>
                </c:pt>
                <c:pt idx="70">
                  <c:v>40281</c:v>
                </c:pt>
                <c:pt idx="71">
                  <c:v>40282</c:v>
                </c:pt>
                <c:pt idx="72">
                  <c:v>40283</c:v>
                </c:pt>
                <c:pt idx="73">
                  <c:v>40284</c:v>
                </c:pt>
                <c:pt idx="74">
                  <c:v>40287</c:v>
                </c:pt>
                <c:pt idx="75">
                  <c:v>40288</c:v>
                </c:pt>
                <c:pt idx="76">
                  <c:v>40289</c:v>
                </c:pt>
                <c:pt idx="77">
                  <c:v>40290</c:v>
                </c:pt>
                <c:pt idx="78">
                  <c:v>40291</c:v>
                </c:pt>
                <c:pt idx="79">
                  <c:v>40294</c:v>
                </c:pt>
                <c:pt idx="80">
                  <c:v>40295</c:v>
                </c:pt>
                <c:pt idx="81">
                  <c:v>40296</c:v>
                </c:pt>
                <c:pt idx="82">
                  <c:v>40297</c:v>
                </c:pt>
                <c:pt idx="83">
                  <c:v>40298</c:v>
                </c:pt>
                <c:pt idx="84">
                  <c:v>40301</c:v>
                </c:pt>
                <c:pt idx="85">
                  <c:v>40302</c:v>
                </c:pt>
                <c:pt idx="86">
                  <c:v>40303</c:v>
                </c:pt>
                <c:pt idx="87">
                  <c:v>40304</c:v>
                </c:pt>
                <c:pt idx="88">
                  <c:v>40305</c:v>
                </c:pt>
                <c:pt idx="89">
                  <c:v>40308</c:v>
                </c:pt>
                <c:pt idx="90">
                  <c:v>40309</c:v>
                </c:pt>
                <c:pt idx="91">
                  <c:v>40310</c:v>
                </c:pt>
                <c:pt idx="92">
                  <c:v>40311</c:v>
                </c:pt>
                <c:pt idx="93">
                  <c:v>40312</c:v>
                </c:pt>
                <c:pt idx="94">
                  <c:v>40315</c:v>
                </c:pt>
                <c:pt idx="95">
                  <c:v>40316</c:v>
                </c:pt>
                <c:pt idx="96">
                  <c:v>40317</c:v>
                </c:pt>
                <c:pt idx="97">
                  <c:v>40318</c:v>
                </c:pt>
                <c:pt idx="98">
                  <c:v>40319</c:v>
                </c:pt>
                <c:pt idx="99">
                  <c:v>40322</c:v>
                </c:pt>
                <c:pt idx="100">
                  <c:v>40323</c:v>
                </c:pt>
                <c:pt idx="101">
                  <c:v>40324</c:v>
                </c:pt>
                <c:pt idx="102">
                  <c:v>40325</c:v>
                </c:pt>
                <c:pt idx="103">
                  <c:v>40326</c:v>
                </c:pt>
                <c:pt idx="104">
                  <c:v>40329</c:v>
                </c:pt>
                <c:pt idx="105">
                  <c:v>40330</c:v>
                </c:pt>
                <c:pt idx="106">
                  <c:v>40331</c:v>
                </c:pt>
                <c:pt idx="107">
                  <c:v>40332</c:v>
                </c:pt>
                <c:pt idx="108">
                  <c:v>40333</c:v>
                </c:pt>
                <c:pt idx="109">
                  <c:v>40336</c:v>
                </c:pt>
                <c:pt idx="110">
                  <c:v>40337</c:v>
                </c:pt>
                <c:pt idx="111">
                  <c:v>40338</c:v>
                </c:pt>
                <c:pt idx="112">
                  <c:v>40339</c:v>
                </c:pt>
                <c:pt idx="113">
                  <c:v>40340</c:v>
                </c:pt>
                <c:pt idx="114">
                  <c:v>40343</c:v>
                </c:pt>
                <c:pt idx="115">
                  <c:v>40344</c:v>
                </c:pt>
                <c:pt idx="116">
                  <c:v>40345</c:v>
                </c:pt>
                <c:pt idx="117">
                  <c:v>40346</c:v>
                </c:pt>
                <c:pt idx="118">
                  <c:v>40347</c:v>
                </c:pt>
                <c:pt idx="119">
                  <c:v>40350</c:v>
                </c:pt>
                <c:pt idx="120">
                  <c:v>40351</c:v>
                </c:pt>
                <c:pt idx="121">
                  <c:v>40352</c:v>
                </c:pt>
                <c:pt idx="122">
                  <c:v>40353</c:v>
                </c:pt>
                <c:pt idx="123">
                  <c:v>40354</c:v>
                </c:pt>
                <c:pt idx="124">
                  <c:v>40357</c:v>
                </c:pt>
                <c:pt idx="125">
                  <c:v>40358</c:v>
                </c:pt>
                <c:pt idx="126">
                  <c:v>40359</c:v>
                </c:pt>
                <c:pt idx="127">
                  <c:v>40360</c:v>
                </c:pt>
                <c:pt idx="128">
                  <c:v>40361</c:v>
                </c:pt>
                <c:pt idx="129">
                  <c:v>40366</c:v>
                </c:pt>
                <c:pt idx="130">
                  <c:v>40367</c:v>
                </c:pt>
                <c:pt idx="131">
                  <c:v>40368</c:v>
                </c:pt>
                <c:pt idx="132">
                  <c:v>40371</c:v>
                </c:pt>
                <c:pt idx="133">
                  <c:v>40372</c:v>
                </c:pt>
                <c:pt idx="134">
                  <c:v>40373</c:v>
                </c:pt>
                <c:pt idx="135">
                  <c:v>40374</c:v>
                </c:pt>
                <c:pt idx="136">
                  <c:v>40375</c:v>
                </c:pt>
                <c:pt idx="137">
                  <c:v>40378</c:v>
                </c:pt>
                <c:pt idx="138">
                  <c:v>40379</c:v>
                </c:pt>
                <c:pt idx="139">
                  <c:v>40380</c:v>
                </c:pt>
                <c:pt idx="140">
                  <c:v>40381</c:v>
                </c:pt>
                <c:pt idx="141">
                  <c:v>40382</c:v>
                </c:pt>
                <c:pt idx="142">
                  <c:v>40385</c:v>
                </c:pt>
                <c:pt idx="143">
                  <c:v>40386</c:v>
                </c:pt>
                <c:pt idx="144">
                  <c:v>40387</c:v>
                </c:pt>
                <c:pt idx="145">
                  <c:v>40388</c:v>
                </c:pt>
                <c:pt idx="146">
                  <c:v>40389</c:v>
                </c:pt>
                <c:pt idx="147">
                  <c:v>40392</c:v>
                </c:pt>
                <c:pt idx="148">
                  <c:v>40393</c:v>
                </c:pt>
                <c:pt idx="149">
                  <c:v>40394</c:v>
                </c:pt>
                <c:pt idx="150">
                  <c:v>40395</c:v>
                </c:pt>
                <c:pt idx="151">
                  <c:v>40396</c:v>
                </c:pt>
                <c:pt idx="152">
                  <c:v>40399</c:v>
                </c:pt>
                <c:pt idx="153">
                  <c:v>40400</c:v>
                </c:pt>
                <c:pt idx="154">
                  <c:v>40401</c:v>
                </c:pt>
                <c:pt idx="155">
                  <c:v>40402</c:v>
                </c:pt>
                <c:pt idx="156">
                  <c:v>40403</c:v>
                </c:pt>
                <c:pt idx="157">
                  <c:v>40406</c:v>
                </c:pt>
                <c:pt idx="158">
                  <c:v>40407</c:v>
                </c:pt>
                <c:pt idx="159">
                  <c:v>40408</c:v>
                </c:pt>
                <c:pt idx="160">
                  <c:v>40409</c:v>
                </c:pt>
                <c:pt idx="161">
                  <c:v>40410</c:v>
                </c:pt>
                <c:pt idx="162">
                  <c:v>40413</c:v>
                </c:pt>
                <c:pt idx="163">
                  <c:v>40414</c:v>
                </c:pt>
                <c:pt idx="164">
                  <c:v>40415</c:v>
                </c:pt>
                <c:pt idx="165">
                  <c:v>40416</c:v>
                </c:pt>
                <c:pt idx="166">
                  <c:v>40417</c:v>
                </c:pt>
                <c:pt idx="167">
                  <c:v>40420</c:v>
                </c:pt>
                <c:pt idx="168">
                  <c:v>40421</c:v>
                </c:pt>
                <c:pt idx="169">
                  <c:v>40422</c:v>
                </c:pt>
                <c:pt idx="170">
                  <c:v>40423</c:v>
                </c:pt>
                <c:pt idx="171">
                  <c:v>40424</c:v>
                </c:pt>
                <c:pt idx="172">
                  <c:v>40427</c:v>
                </c:pt>
                <c:pt idx="173">
                  <c:v>40428</c:v>
                </c:pt>
                <c:pt idx="174">
                  <c:v>40429</c:v>
                </c:pt>
                <c:pt idx="175">
                  <c:v>40430</c:v>
                </c:pt>
                <c:pt idx="176">
                  <c:v>40431</c:v>
                </c:pt>
                <c:pt idx="177">
                  <c:v>40434</c:v>
                </c:pt>
                <c:pt idx="178">
                  <c:v>40435</c:v>
                </c:pt>
                <c:pt idx="179">
                  <c:v>40436</c:v>
                </c:pt>
                <c:pt idx="180">
                  <c:v>40437</c:v>
                </c:pt>
                <c:pt idx="181">
                  <c:v>40438</c:v>
                </c:pt>
                <c:pt idx="182">
                  <c:v>40441</c:v>
                </c:pt>
                <c:pt idx="183">
                  <c:v>40442</c:v>
                </c:pt>
                <c:pt idx="184">
                  <c:v>40443</c:v>
                </c:pt>
                <c:pt idx="185">
                  <c:v>40444</c:v>
                </c:pt>
                <c:pt idx="186">
                  <c:v>40445</c:v>
                </c:pt>
                <c:pt idx="187">
                  <c:v>40448</c:v>
                </c:pt>
                <c:pt idx="188">
                  <c:v>40450</c:v>
                </c:pt>
                <c:pt idx="189">
                  <c:v>40451</c:v>
                </c:pt>
                <c:pt idx="190">
                  <c:v>40452</c:v>
                </c:pt>
                <c:pt idx="191">
                  <c:v>40455</c:v>
                </c:pt>
                <c:pt idx="192">
                  <c:v>40456</c:v>
                </c:pt>
                <c:pt idx="193">
                  <c:v>40457</c:v>
                </c:pt>
                <c:pt idx="194">
                  <c:v>40458</c:v>
                </c:pt>
                <c:pt idx="195">
                  <c:v>40459</c:v>
                </c:pt>
                <c:pt idx="196">
                  <c:v>40462</c:v>
                </c:pt>
                <c:pt idx="197">
                  <c:v>40463</c:v>
                </c:pt>
                <c:pt idx="198">
                  <c:v>40464</c:v>
                </c:pt>
                <c:pt idx="199">
                  <c:v>40465</c:v>
                </c:pt>
                <c:pt idx="200">
                  <c:v>40466</c:v>
                </c:pt>
                <c:pt idx="201">
                  <c:v>40469</c:v>
                </c:pt>
                <c:pt idx="202">
                  <c:v>40470</c:v>
                </c:pt>
                <c:pt idx="203">
                  <c:v>40471</c:v>
                </c:pt>
                <c:pt idx="204">
                  <c:v>40472</c:v>
                </c:pt>
                <c:pt idx="205">
                  <c:v>40473</c:v>
                </c:pt>
                <c:pt idx="206">
                  <c:v>40476</c:v>
                </c:pt>
                <c:pt idx="207">
                  <c:v>40477</c:v>
                </c:pt>
                <c:pt idx="208">
                  <c:v>40478</c:v>
                </c:pt>
                <c:pt idx="209">
                  <c:v>40480</c:v>
                </c:pt>
                <c:pt idx="210">
                  <c:v>40483</c:v>
                </c:pt>
                <c:pt idx="211">
                  <c:v>40484</c:v>
                </c:pt>
                <c:pt idx="212">
                  <c:v>40485</c:v>
                </c:pt>
                <c:pt idx="213">
                  <c:v>40486</c:v>
                </c:pt>
                <c:pt idx="214">
                  <c:v>40487</c:v>
                </c:pt>
                <c:pt idx="215">
                  <c:v>40490</c:v>
                </c:pt>
                <c:pt idx="216">
                  <c:v>40491</c:v>
                </c:pt>
                <c:pt idx="217">
                  <c:v>40492</c:v>
                </c:pt>
                <c:pt idx="218">
                  <c:v>40493</c:v>
                </c:pt>
                <c:pt idx="219">
                  <c:v>40494</c:v>
                </c:pt>
                <c:pt idx="220">
                  <c:v>40497</c:v>
                </c:pt>
                <c:pt idx="221">
                  <c:v>40498</c:v>
                </c:pt>
                <c:pt idx="222">
                  <c:v>40500</c:v>
                </c:pt>
                <c:pt idx="223">
                  <c:v>40501</c:v>
                </c:pt>
                <c:pt idx="224">
                  <c:v>40504</c:v>
                </c:pt>
                <c:pt idx="225">
                  <c:v>40505</c:v>
                </c:pt>
                <c:pt idx="226">
                  <c:v>40506</c:v>
                </c:pt>
                <c:pt idx="227">
                  <c:v>40507</c:v>
                </c:pt>
                <c:pt idx="228">
                  <c:v>40508</c:v>
                </c:pt>
                <c:pt idx="229">
                  <c:v>40511</c:v>
                </c:pt>
                <c:pt idx="230">
                  <c:v>40512</c:v>
                </c:pt>
                <c:pt idx="231">
                  <c:v>40513</c:v>
                </c:pt>
                <c:pt idx="232">
                  <c:v>40514</c:v>
                </c:pt>
                <c:pt idx="233">
                  <c:v>40515</c:v>
                </c:pt>
                <c:pt idx="234">
                  <c:v>40518</c:v>
                </c:pt>
                <c:pt idx="235">
                  <c:v>40519</c:v>
                </c:pt>
                <c:pt idx="236">
                  <c:v>40520</c:v>
                </c:pt>
                <c:pt idx="237">
                  <c:v>40521</c:v>
                </c:pt>
                <c:pt idx="238">
                  <c:v>40522</c:v>
                </c:pt>
                <c:pt idx="239">
                  <c:v>40525</c:v>
                </c:pt>
                <c:pt idx="240">
                  <c:v>40526</c:v>
                </c:pt>
                <c:pt idx="241">
                  <c:v>40527</c:v>
                </c:pt>
                <c:pt idx="242">
                  <c:v>40528</c:v>
                </c:pt>
                <c:pt idx="243">
                  <c:v>40529</c:v>
                </c:pt>
                <c:pt idx="244">
                  <c:v>40532</c:v>
                </c:pt>
                <c:pt idx="245">
                  <c:v>40533</c:v>
                </c:pt>
                <c:pt idx="246">
                  <c:v>40534</c:v>
                </c:pt>
                <c:pt idx="247">
                  <c:v>40535</c:v>
                </c:pt>
                <c:pt idx="248">
                  <c:v>40539</c:v>
                </c:pt>
                <c:pt idx="249">
                  <c:v>40540</c:v>
                </c:pt>
                <c:pt idx="250">
                  <c:v>40541</c:v>
                </c:pt>
                <c:pt idx="251">
                  <c:v>40542</c:v>
                </c:pt>
                <c:pt idx="252">
                  <c:v>40543</c:v>
                </c:pt>
              </c:numCache>
            </c:numRef>
          </c:cat>
          <c:val>
            <c:numRef>
              <c:f>kurzovylistekrok2010!$AG$2:$AG$255</c:f>
              <c:numCache>
                <c:formatCode>_([$CZK]\ * #,##0.000_);_([$CZK]\ * \(#,##0.000\);_([$CZK]\ * "-"???_);_(@_)</c:formatCode>
                <c:ptCount val="254"/>
                <c:pt idx="0">
                  <c:v>19.110968379446653</c:v>
                </c:pt>
                <c:pt idx="1">
                  <c:v>18.274999999999999</c:v>
                </c:pt>
                <c:pt idx="2">
                  <c:v>18.164000000000001</c:v>
                </c:pt>
                <c:pt idx="3">
                  <c:v>18.352</c:v>
                </c:pt>
                <c:pt idx="4">
                  <c:v>18.436</c:v>
                </c:pt>
                <c:pt idx="5">
                  <c:v>18.436</c:v>
                </c:pt>
                <c:pt idx="6">
                  <c:v>18.033999999999999</c:v>
                </c:pt>
                <c:pt idx="7">
                  <c:v>18.131000000000007</c:v>
                </c:pt>
                <c:pt idx="8">
                  <c:v>17.964999999999993</c:v>
                </c:pt>
                <c:pt idx="9">
                  <c:v>17.978000000000002</c:v>
                </c:pt>
                <c:pt idx="10">
                  <c:v>18.041</c:v>
                </c:pt>
                <c:pt idx="11">
                  <c:v>18.015999999999991</c:v>
                </c:pt>
                <c:pt idx="12">
                  <c:v>18.140999999999991</c:v>
                </c:pt>
                <c:pt idx="13">
                  <c:v>18.315999999999999</c:v>
                </c:pt>
                <c:pt idx="14">
                  <c:v>18.471999999999994</c:v>
                </c:pt>
                <c:pt idx="15">
                  <c:v>18.524999999999999</c:v>
                </c:pt>
                <c:pt idx="16">
                  <c:v>18.376999999999999</c:v>
                </c:pt>
                <c:pt idx="17">
                  <c:v>18.530999999999999</c:v>
                </c:pt>
                <c:pt idx="18">
                  <c:v>18.555</c:v>
                </c:pt>
                <c:pt idx="19">
                  <c:v>18.739000000000001</c:v>
                </c:pt>
                <c:pt idx="20">
                  <c:v>18.781999999999993</c:v>
                </c:pt>
                <c:pt idx="21">
                  <c:v>18.734000000000005</c:v>
                </c:pt>
                <c:pt idx="22">
                  <c:v>18.654000000000007</c:v>
                </c:pt>
                <c:pt idx="23">
                  <c:v>18.613000000000007</c:v>
                </c:pt>
                <c:pt idx="24">
                  <c:v>18.861999999999991</c:v>
                </c:pt>
                <c:pt idx="25">
                  <c:v>19.120999999999999</c:v>
                </c:pt>
                <c:pt idx="26">
                  <c:v>19.130000000000006</c:v>
                </c:pt>
                <c:pt idx="27">
                  <c:v>18.963999999999988</c:v>
                </c:pt>
                <c:pt idx="28">
                  <c:v>18.987999999999992</c:v>
                </c:pt>
                <c:pt idx="29">
                  <c:v>18.959</c:v>
                </c:pt>
                <c:pt idx="30">
                  <c:v>19.167000000000005</c:v>
                </c:pt>
                <c:pt idx="31">
                  <c:v>19.106000000000005</c:v>
                </c:pt>
                <c:pt idx="32">
                  <c:v>19.064999999999994</c:v>
                </c:pt>
                <c:pt idx="33">
                  <c:v>18.89</c:v>
                </c:pt>
                <c:pt idx="34">
                  <c:v>18.952999999999992</c:v>
                </c:pt>
                <c:pt idx="35">
                  <c:v>19.050999999999991</c:v>
                </c:pt>
                <c:pt idx="36">
                  <c:v>18.899000000000001</c:v>
                </c:pt>
                <c:pt idx="37">
                  <c:v>19</c:v>
                </c:pt>
                <c:pt idx="38">
                  <c:v>19.099</c:v>
                </c:pt>
                <c:pt idx="39">
                  <c:v>19.231999999999999</c:v>
                </c:pt>
                <c:pt idx="40">
                  <c:v>19.131000000000007</c:v>
                </c:pt>
                <c:pt idx="41">
                  <c:v>19.167999999999999</c:v>
                </c:pt>
                <c:pt idx="42">
                  <c:v>19.016999999999999</c:v>
                </c:pt>
                <c:pt idx="43">
                  <c:v>18.881</c:v>
                </c:pt>
                <c:pt idx="44">
                  <c:v>18.888999999999992</c:v>
                </c:pt>
                <c:pt idx="45">
                  <c:v>18.974999999999994</c:v>
                </c:pt>
                <c:pt idx="46">
                  <c:v>18.715</c:v>
                </c:pt>
                <c:pt idx="47">
                  <c:v>18.934999999999999</c:v>
                </c:pt>
                <c:pt idx="48">
                  <c:v>18.824000000000005</c:v>
                </c:pt>
                <c:pt idx="49">
                  <c:v>18.71</c:v>
                </c:pt>
                <c:pt idx="50">
                  <c:v>18.535</c:v>
                </c:pt>
                <c:pt idx="51">
                  <c:v>18.594999999999999</c:v>
                </c:pt>
                <c:pt idx="52">
                  <c:v>18.581</c:v>
                </c:pt>
                <c:pt idx="53">
                  <c:v>18.46299999999999</c:v>
                </c:pt>
                <c:pt idx="54">
                  <c:v>18.504000000000001</c:v>
                </c:pt>
                <c:pt idx="55">
                  <c:v>18.715</c:v>
                </c:pt>
                <c:pt idx="56">
                  <c:v>18.899000000000001</c:v>
                </c:pt>
                <c:pt idx="57">
                  <c:v>18.827000000000005</c:v>
                </c:pt>
                <c:pt idx="58">
                  <c:v>19.02</c:v>
                </c:pt>
                <c:pt idx="59">
                  <c:v>18.987999999999992</c:v>
                </c:pt>
                <c:pt idx="60">
                  <c:v>19.038</c:v>
                </c:pt>
                <c:pt idx="61">
                  <c:v>18.89</c:v>
                </c:pt>
                <c:pt idx="62">
                  <c:v>18.869</c:v>
                </c:pt>
                <c:pt idx="63">
                  <c:v>18.867999999999999</c:v>
                </c:pt>
                <c:pt idx="64">
                  <c:v>18.843</c:v>
                </c:pt>
                <c:pt idx="65">
                  <c:v>18.707999999999991</c:v>
                </c:pt>
                <c:pt idx="66">
                  <c:v>18.881</c:v>
                </c:pt>
                <c:pt idx="67">
                  <c:v>18.920000000000002</c:v>
                </c:pt>
                <c:pt idx="68">
                  <c:v>18.943999999999992</c:v>
                </c:pt>
                <c:pt idx="69">
                  <c:v>18.846</c:v>
                </c:pt>
                <c:pt idx="70">
                  <c:v>18.512</c:v>
                </c:pt>
                <c:pt idx="71">
                  <c:v>18.521999999999991</c:v>
                </c:pt>
                <c:pt idx="72">
                  <c:v>18.391999999999999</c:v>
                </c:pt>
                <c:pt idx="73">
                  <c:v>18.518000000000001</c:v>
                </c:pt>
                <c:pt idx="74">
                  <c:v>18.603999999999999</c:v>
                </c:pt>
                <c:pt idx="75">
                  <c:v>18.811000000000007</c:v>
                </c:pt>
                <c:pt idx="76">
                  <c:v>18.764999999999993</c:v>
                </c:pt>
                <c:pt idx="77">
                  <c:v>18.904999999999994</c:v>
                </c:pt>
                <c:pt idx="78">
                  <c:v>19.013000000000005</c:v>
                </c:pt>
                <c:pt idx="79">
                  <c:v>19.079000000000001</c:v>
                </c:pt>
                <c:pt idx="80">
                  <c:v>19.087</c:v>
                </c:pt>
                <c:pt idx="81">
                  <c:v>19.195</c:v>
                </c:pt>
                <c:pt idx="82">
                  <c:v>19.306000000000001</c:v>
                </c:pt>
                <c:pt idx="83">
                  <c:v>19.274000000000001</c:v>
                </c:pt>
                <c:pt idx="84">
                  <c:v>19.207999999999991</c:v>
                </c:pt>
                <c:pt idx="85">
                  <c:v>19.298999999999992</c:v>
                </c:pt>
                <c:pt idx="86">
                  <c:v>19.64</c:v>
                </c:pt>
                <c:pt idx="87">
                  <c:v>20.018999999999991</c:v>
                </c:pt>
                <c:pt idx="88">
                  <c:v>20.442999999999991</c:v>
                </c:pt>
                <c:pt idx="89">
                  <c:v>20.373999999999999</c:v>
                </c:pt>
                <c:pt idx="90">
                  <c:v>19.742999999999988</c:v>
                </c:pt>
                <c:pt idx="91">
                  <c:v>20.151000000000007</c:v>
                </c:pt>
                <c:pt idx="92">
                  <c:v>20.012</c:v>
                </c:pt>
                <c:pt idx="93">
                  <c:v>20.199000000000005</c:v>
                </c:pt>
                <c:pt idx="94">
                  <c:v>20.381999999999994</c:v>
                </c:pt>
                <c:pt idx="95">
                  <c:v>20.706</c:v>
                </c:pt>
                <c:pt idx="96">
                  <c:v>20.491999999999994</c:v>
                </c:pt>
                <c:pt idx="97">
                  <c:v>20.972999999999988</c:v>
                </c:pt>
                <c:pt idx="98">
                  <c:v>21.013999999999999</c:v>
                </c:pt>
                <c:pt idx="99">
                  <c:v>20.734999999999999</c:v>
                </c:pt>
                <c:pt idx="100">
                  <c:v>20.753</c:v>
                </c:pt>
                <c:pt idx="101">
                  <c:v>20.984999999999992</c:v>
                </c:pt>
                <c:pt idx="102">
                  <c:v>20.761999999999993</c:v>
                </c:pt>
                <c:pt idx="103">
                  <c:v>20.917999999999999</c:v>
                </c:pt>
                <c:pt idx="104">
                  <c:v>20.818000000000001</c:v>
                </c:pt>
                <c:pt idx="105">
                  <c:v>20.725999999999992</c:v>
                </c:pt>
                <c:pt idx="106">
                  <c:v>21.084</c:v>
                </c:pt>
                <c:pt idx="107">
                  <c:v>21.111000000000008</c:v>
                </c:pt>
                <c:pt idx="108">
                  <c:v>21</c:v>
                </c:pt>
                <c:pt idx="109">
                  <c:v>21.591999999999999</c:v>
                </c:pt>
                <c:pt idx="110">
                  <c:v>21.645</c:v>
                </c:pt>
                <c:pt idx="111">
                  <c:v>21.702000000000002</c:v>
                </c:pt>
                <c:pt idx="112">
                  <c:v>21.561</c:v>
                </c:pt>
                <c:pt idx="113">
                  <c:v>21.559000000000001</c:v>
                </c:pt>
                <c:pt idx="114">
                  <c:v>21.192</c:v>
                </c:pt>
                <c:pt idx="115">
                  <c:v>20.96299999999999</c:v>
                </c:pt>
                <c:pt idx="116">
                  <c:v>20.943999999999992</c:v>
                </c:pt>
                <c:pt idx="117">
                  <c:v>20.968999999999991</c:v>
                </c:pt>
                <c:pt idx="118">
                  <c:v>20.795000000000002</c:v>
                </c:pt>
                <c:pt idx="119">
                  <c:v>20.797999999999991</c:v>
                </c:pt>
                <c:pt idx="120">
                  <c:v>20.792000000000002</c:v>
                </c:pt>
                <c:pt idx="121">
                  <c:v>21.036999999999999</c:v>
                </c:pt>
                <c:pt idx="122">
                  <c:v>20.960999999999988</c:v>
                </c:pt>
                <c:pt idx="123">
                  <c:v>21.015999999999991</c:v>
                </c:pt>
                <c:pt idx="124">
                  <c:v>20.981999999999992</c:v>
                </c:pt>
                <c:pt idx="125">
                  <c:v>20.861999999999991</c:v>
                </c:pt>
                <c:pt idx="126">
                  <c:v>21.113000000000007</c:v>
                </c:pt>
                <c:pt idx="127">
                  <c:v>20.946999999999992</c:v>
                </c:pt>
                <c:pt idx="128">
                  <c:v>20.893999999999991</c:v>
                </c:pt>
                <c:pt idx="129">
                  <c:v>20.518000000000001</c:v>
                </c:pt>
                <c:pt idx="130">
                  <c:v>20.329000000000001</c:v>
                </c:pt>
                <c:pt idx="131">
                  <c:v>20.097999999999999</c:v>
                </c:pt>
                <c:pt idx="132">
                  <c:v>20.065999999999988</c:v>
                </c:pt>
                <c:pt idx="133">
                  <c:v>20.138000000000005</c:v>
                </c:pt>
                <c:pt idx="134">
                  <c:v>20.161000000000001</c:v>
                </c:pt>
                <c:pt idx="135">
                  <c:v>20.042000000000002</c:v>
                </c:pt>
                <c:pt idx="136">
                  <c:v>19.853000000000005</c:v>
                </c:pt>
                <c:pt idx="137">
                  <c:v>19.561999999999994</c:v>
                </c:pt>
                <c:pt idx="138">
                  <c:v>19.629000000000001</c:v>
                </c:pt>
                <c:pt idx="139">
                  <c:v>19.738</c:v>
                </c:pt>
                <c:pt idx="140">
                  <c:v>19.774999999999999</c:v>
                </c:pt>
                <c:pt idx="141">
                  <c:v>19.582999999999984</c:v>
                </c:pt>
                <c:pt idx="142">
                  <c:v>19.516999999999999</c:v>
                </c:pt>
                <c:pt idx="143">
                  <c:v>19.427999999999994</c:v>
                </c:pt>
                <c:pt idx="144">
                  <c:v>19.244</c:v>
                </c:pt>
                <c:pt idx="145">
                  <c:v>19.233000000000001</c:v>
                </c:pt>
                <c:pt idx="146">
                  <c:v>18.936</c:v>
                </c:pt>
                <c:pt idx="147">
                  <c:v>19.029</c:v>
                </c:pt>
                <c:pt idx="148">
                  <c:v>18.885999999999992</c:v>
                </c:pt>
                <c:pt idx="149">
                  <c:v>18.684999999999999</c:v>
                </c:pt>
                <c:pt idx="150">
                  <c:v>18.721</c:v>
                </c:pt>
                <c:pt idx="151">
                  <c:v>18.774000000000001</c:v>
                </c:pt>
                <c:pt idx="152">
                  <c:v>18.785999999999991</c:v>
                </c:pt>
                <c:pt idx="153">
                  <c:v>18.693000000000001</c:v>
                </c:pt>
                <c:pt idx="154">
                  <c:v>18.861000000000001</c:v>
                </c:pt>
                <c:pt idx="155">
                  <c:v>19.062999999999988</c:v>
                </c:pt>
                <c:pt idx="156">
                  <c:v>19.457000000000001</c:v>
                </c:pt>
                <c:pt idx="157">
                  <c:v>19.440999999999988</c:v>
                </c:pt>
                <c:pt idx="158">
                  <c:v>19.39</c:v>
                </c:pt>
                <c:pt idx="159">
                  <c:v>19.288999999999991</c:v>
                </c:pt>
                <c:pt idx="160">
                  <c:v>19.265999999999984</c:v>
                </c:pt>
                <c:pt idx="161">
                  <c:v>19.318999999999999</c:v>
                </c:pt>
                <c:pt idx="162">
                  <c:v>19.507999999999999</c:v>
                </c:pt>
                <c:pt idx="163">
                  <c:v>19.524999999999999</c:v>
                </c:pt>
                <c:pt idx="164">
                  <c:v>19.738</c:v>
                </c:pt>
                <c:pt idx="165">
                  <c:v>19.753</c:v>
                </c:pt>
                <c:pt idx="166">
                  <c:v>19.582999999999984</c:v>
                </c:pt>
                <c:pt idx="167">
                  <c:v>19.478999999999992</c:v>
                </c:pt>
                <c:pt idx="168">
                  <c:v>19.535</c:v>
                </c:pt>
                <c:pt idx="169">
                  <c:v>19.594999999999999</c:v>
                </c:pt>
                <c:pt idx="170">
                  <c:v>19.32</c:v>
                </c:pt>
                <c:pt idx="171">
                  <c:v>19.274999999999999</c:v>
                </c:pt>
                <c:pt idx="172">
                  <c:v>19.239999999999991</c:v>
                </c:pt>
                <c:pt idx="173">
                  <c:v>19.187000000000001</c:v>
                </c:pt>
                <c:pt idx="174">
                  <c:v>19.399999999999999</c:v>
                </c:pt>
                <c:pt idx="175">
                  <c:v>19.459999999999994</c:v>
                </c:pt>
                <c:pt idx="176">
                  <c:v>19.408999999999988</c:v>
                </c:pt>
                <c:pt idx="177">
                  <c:v>19.393000000000001</c:v>
                </c:pt>
                <c:pt idx="178">
                  <c:v>19.261999999999993</c:v>
                </c:pt>
                <c:pt idx="179">
                  <c:v>19.106000000000005</c:v>
                </c:pt>
                <c:pt idx="180">
                  <c:v>18.951000000000001</c:v>
                </c:pt>
                <c:pt idx="181">
                  <c:v>18.818000000000001</c:v>
                </c:pt>
                <c:pt idx="182">
                  <c:v>18.896000000000001</c:v>
                </c:pt>
                <c:pt idx="183">
                  <c:v>18.867000000000001</c:v>
                </c:pt>
                <c:pt idx="184">
                  <c:v>18.795000000000002</c:v>
                </c:pt>
                <c:pt idx="185">
                  <c:v>18.388000000000002</c:v>
                </c:pt>
                <c:pt idx="186">
                  <c:v>18.478999999999992</c:v>
                </c:pt>
                <c:pt idx="187">
                  <c:v>18.367000000000001</c:v>
                </c:pt>
                <c:pt idx="188">
                  <c:v>18.234999999999999</c:v>
                </c:pt>
                <c:pt idx="189">
                  <c:v>18.050999999999991</c:v>
                </c:pt>
                <c:pt idx="190">
                  <c:v>18.024999999999999</c:v>
                </c:pt>
                <c:pt idx="191">
                  <c:v>17.8</c:v>
                </c:pt>
                <c:pt idx="192">
                  <c:v>17.852</c:v>
                </c:pt>
                <c:pt idx="193">
                  <c:v>17.777999999999999</c:v>
                </c:pt>
                <c:pt idx="194">
                  <c:v>17.689</c:v>
                </c:pt>
                <c:pt idx="195">
                  <c:v>17.539000000000001</c:v>
                </c:pt>
                <c:pt idx="196">
                  <c:v>17.649999999999999</c:v>
                </c:pt>
                <c:pt idx="197">
                  <c:v>17.606000000000005</c:v>
                </c:pt>
                <c:pt idx="198">
                  <c:v>17.727</c:v>
                </c:pt>
                <c:pt idx="199">
                  <c:v>17.527000000000001</c:v>
                </c:pt>
                <c:pt idx="200">
                  <c:v>17.327999999999999</c:v>
                </c:pt>
                <c:pt idx="201">
                  <c:v>17.361000000000001</c:v>
                </c:pt>
                <c:pt idx="202">
                  <c:v>17.640999999999991</c:v>
                </c:pt>
                <c:pt idx="203">
                  <c:v>17.696999999999999</c:v>
                </c:pt>
                <c:pt idx="204">
                  <c:v>17.673999999999999</c:v>
                </c:pt>
                <c:pt idx="205">
                  <c:v>17.507999999999999</c:v>
                </c:pt>
                <c:pt idx="206">
                  <c:v>17.672999999999991</c:v>
                </c:pt>
                <c:pt idx="207">
                  <c:v>17.467999999999993</c:v>
                </c:pt>
                <c:pt idx="208">
                  <c:v>17.698</c:v>
                </c:pt>
                <c:pt idx="209">
                  <c:v>17.861999999999991</c:v>
                </c:pt>
                <c:pt idx="210">
                  <c:v>17.754000000000001</c:v>
                </c:pt>
                <c:pt idx="211">
                  <c:v>17.613000000000007</c:v>
                </c:pt>
                <c:pt idx="212">
                  <c:v>17.477</c:v>
                </c:pt>
                <c:pt idx="213">
                  <c:v>17.48299999999999</c:v>
                </c:pt>
                <c:pt idx="214">
                  <c:v>17.122</c:v>
                </c:pt>
                <c:pt idx="215">
                  <c:v>17.461999999999993</c:v>
                </c:pt>
                <c:pt idx="216">
                  <c:v>17.66</c:v>
                </c:pt>
                <c:pt idx="217">
                  <c:v>17.631000000000007</c:v>
                </c:pt>
                <c:pt idx="218">
                  <c:v>17.870999999999999</c:v>
                </c:pt>
                <c:pt idx="219">
                  <c:v>17.978999999999992</c:v>
                </c:pt>
                <c:pt idx="220">
                  <c:v>17.964999999999993</c:v>
                </c:pt>
                <c:pt idx="221">
                  <c:v>18.071000000000005</c:v>
                </c:pt>
                <c:pt idx="222">
                  <c:v>18.079000000000001</c:v>
                </c:pt>
                <c:pt idx="223">
                  <c:v>18.062999999999988</c:v>
                </c:pt>
                <c:pt idx="224">
                  <c:v>18.068999999999992</c:v>
                </c:pt>
                <c:pt idx="225">
                  <c:v>18.096</c:v>
                </c:pt>
                <c:pt idx="226">
                  <c:v>18.294</c:v>
                </c:pt>
                <c:pt idx="227">
                  <c:v>18.510000000000005</c:v>
                </c:pt>
                <c:pt idx="228">
                  <c:v>18.558</c:v>
                </c:pt>
                <c:pt idx="229">
                  <c:v>18.698</c:v>
                </c:pt>
                <c:pt idx="230">
                  <c:v>18.835000000000001</c:v>
                </c:pt>
                <c:pt idx="231">
                  <c:v>19.164999999999999</c:v>
                </c:pt>
                <c:pt idx="232">
                  <c:v>19.036000000000001</c:v>
                </c:pt>
                <c:pt idx="233">
                  <c:v>19.009</c:v>
                </c:pt>
                <c:pt idx="234">
                  <c:v>18.884</c:v>
                </c:pt>
                <c:pt idx="235">
                  <c:v>18.856999999999999</c:v>
                </c:pt>
                <c:pt idx="236">
                  <c:v>18.759</c:v>
                </c:pt>
                <c:pt idx="237">
                  <c:v>19.007999999999999</c:v>
                </c:pt>
                <c:pt idx="238">
                  <c:v>18.977</c:v>
                </c:pt>
                <c:pt idx="239">
                  <c:v>19</c:v>
                </c:pt>
                <c:pt idx="240">
                  <c:v>18.966999999999988</c:v>
                </c:pt>
                <c:pt idx="241">
                  <c:v>18.724999999999994</c:v>
                </c:pt>
                <c:pt idx="242">
                  <c:v>18.829000000000001</c:v>
                </c:pt>
                <c:pt idx="243">
                  <c:v>19.003</c:v>
                </c:pt>
                <c:pt idx="244">
                  <c:v>19.021999999999991</c:v>
                </c:pt>
                <c:pt idx="245">
                  <c:v>19.219000000000001</c:v>
                </c:pt>
                <c:pt idx="246">
                  <c:v>19.198</c:v>
                </c:pt>
                <c:pt idx="247">
                  <c:v>19.271999999999991</c:v>
                </c:pt>
                <c:pt idx="248">
                  <c:v>19.369</c:v>
                </c:pt>
                <c:pt idx="249">
                  <c:v>19.288999999999991</c:v>
                </c:pt>
                <c:pt idx="250">
                  <c:v>19.21</c:v>
                </c:pt>
                <c:pt idx="251">
                  <c:v>19.228000000000002</c:v>
                </c:pt>
                <c:pt idx="252">
                  <c:v>18.994</c:v>
                </c:pt>
                <c:pt idx="253">
                  <c:v>18.751000000000001</c:v>
                </c:pt>
              </c:numCache>
            </c:numRef>
          </c:val>
        </c:ser>
        <c:marker val="1"/>
        <c:axId val="135806336"/>
        <c:axId val="135883392"/>
      </c:lineChart>
      <c:dateAx>
        <c:axId val="135806336"/>
        <c:scaling>
          <c:orientation val="minMax"/>
        </c:scaling>
        <c:axPos val="b"/>
        <c:numFmt formatCode="[$-405]d\.\ mmmm\ yyyy;@" sourceLinked="1"/>
        <c:tickLblPos val="nextTo"/>
        <c:crossAx val="135883392"/>
        <c:crosses val="autoZero"/>
        <c:auto val="1"/>
        <c:lblOffset val="100"/>
        <c:baseTimeUnit val="days"/>
      </c:dateAx>
      <c:valAx>
        <c:axId val="135883392"/>
        <c:scaling>
          <c:orientation val="minMax"/>
        </c:scaling>
        <c:axPos val="l"/>
        <c:majorGridlines/>
        <c:numFmt formatCode="_([$CZK]\ * #,##0.000_);_([$CZK]\ * \(#,##0.000\);_([$CZK]\ * &quot;-&quot;???_);_(@_)" sourceLinked="1"/>
        <c:tickLblPos val="nextTo"/>
        <c:crossAx val="135806336"/>
        <c:crosses val="autoZero"/>
        <c:crossBetween val="between"/>
      </c:valAx>
    </c:plotArea>
    <c:legend>
      <c:legendPos val="r"/>
      <c:spPr>
        <a:effectLst>
          <a:outerShdw blurRad="50800" dist="50800" dir="5400000" algn="ctr" rotWithShape="0">
            <a:schemeClr val="bg1"/>
          </a:outerShdw>
        </a:effectLst>
      </c:spPr>
      <c:txPr>
        <a:bodyPr/>
        <a:lstStyle/>
        <a:p>
          <a:pPr rtl="0">
            <a:defRPr/>
          </a:pPr>
          <a:endParaRPr lang="cs-CZ"/>
        </a:p>
      </c:txP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b:Tag>Wik10</b:Tag>
    <b:SourceType>InternetSite</b:SourceType>
    <b:Guid>{8D137C61-28B4-49FC-B216-659BD769D365}</b:Guid>
    <b:LCID>0</b:LCID>
    <b:Title>Wikipedie</b:Title>
    <b:InternetSiteTitle>Měnový kurz</b:InternetSiteTitle>
    <b:Year>2010</b:Year>
    <b:Month>6</b:Month>
    <b:Day>25</b:Day>
    <b:YearAccessed>2011</b:YearAccessed>
    <b:MonthAccessed>3</b:MonthAccessed>
    <b:DayAccessed>20</b:DayAccessed>
    <b:URL>http://cs.wikipedia.org/wiki/M%C4%9Bnov%C3%BD_kurz</b:URL>
    <b:ProductionCompany>Wikipedie - Otevřená encyklopedie</b:ProductionCompany>
    <b:RefOrder>1</b:RefOrder>
  </b:Source>
  <b:Source>
    <b:Tag>Čes11</b:Tag>
    <b:SourceType>InternetSite</b:SourceType>
    <b:Guid>{3F36E983-FC05-4D1F-91DF-E87D38656ED5}</b:Guid>
    <b:LCID>0</b:LCID>
    <b:Title>Česká národní banka</b:Title>
    <b:InternetSiteTitle>Kurzy devizovaného trhu</b:InternetSiteTitle>
    <b:Year>2011</b:Year>
    <b:Month>2</b:Month>
    <b:Day>7</b:Day>
    <b:YearAccessed>2011</b:YearAccessed>
    <b:MonthAccessed>2</b:MonthAccessed>
    <b:DayAccessed>1</b:DayAccessed>
    <b:URL>http://www.cnb.cz/cs/financni_trhy/devizovy_trh/kurzy_devizoveho_trhu/denni_kurz.jsp</b:URL>
    <b:ProductionCompany>Česká národní banka</b:ProductionCompany>
    <b:Author>
      <b:Author>
        <b:NameList>
          <b:Person>
            <b:Last>kurz</b:Last>
            <b:First>Měnový</b:First>
          </b:Person>
        </b:NameList>
      </b:Author>
    </b:Author>
    <b:RefOrder>2</b:RefOrder>
  </b:Source>
  <b:Source>
    <b:Tag>Zástupný_text1</b:Tag>
    <b:SourceType>InternetSite</b:SourceType>
    <b:Guid>{1D5656FC-586E-45E0-AF88-3C9C9EC6AB97}</b:Guid>
    <b:LCID>0</b:LCID>
    <b:Title>Wikipedie</b:Title>
    <b:InternetSiteTitle>Měnový kurz</b:InternetSiteTitle>
    <b:Year>2010</b:Year>
    <b:Month>6</b:Month>
    <b:Day>25</b:Day>
    <b:YearAccessed>2011</b:YearAccessed>
    <b:MonthAccessed>3</b:MonthAccessed>
    <b:DayAccessed>20</b:DayAccessed>
    <b:URL>http://cs.wikipedia.org/wiki/M%C4%9Bnov%C3%BD_kurz</b:URL>
    <b:RefOrder>3</b:RefOrder>
  </b:Source>
</b:Sources>
</file>

<file path=customXml/itemProps1.xml><?xml version="1.0" encoding="utf-8"?>
<ds:datastoreItem xmlns:ds="http://schemas.openxmlformats.org/officeDocument/2006/customXml" ds:itemID="{EF918753-4E85-4F44-80A8-DF4F93B7F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15</Pages>
  <Words>1897</Words>
  <Characters>11198</Characters>
  <Application>Microsoft Office Word</Application>
  <DocSecurity>0</DocSecurity>
  <Lines>93</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13069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Rehorik</dc:creator>
  <cp:lastModifiedBy>Ucebna</cp:lastModifiedBy>
  <cp:revision>35</cp:revision>
  <cp:lastPrinted>2011-06-25T15:57:00Z</cp:lastPrinted>
  <dcterms:created xsi:type="dcterms:W3CDTF">2011-06-25T14:23:00Z</dcterms:created>
  <dcterms:modified xsi:type="dcterms:W3CDTF">2011-06-25T15:58:00Z</dcterms:modified>
</cp:coreProperties>
</file>